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SGB 5 — Elektronische Kommunikation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Zur Verbesserung der Qualität und Wirtschaftlichkeit der Versorgung soll die Kommunikation sowie der Daten- und Informationsfluss unter den Leistungserbringern, zwischen den Krankenkassen und Leistungserbringern sowie im Verhältnis von Krankenkassen und Leistungserbringern zu den Versicherten durch vernetzte digitale Anwendungen und Dienste ausgebaut werden, insbesondere zur</w:t>
      </w:r>
    </w:p>
    <w:p>
      <w:pPr>
        <w:ind w:left="420"/>
      </w:pPr>
      <w:r>
        <w:t xml:space="preserve">1. elektronischen und maschinell verwertbaren Übermittlung von Befunden, Diagnosen, Therapieempfehlungen, Behandlungsberichten und Unterlagen in Genehmigungsverfahren,</w:t>
      </w:r>
    </w:p>
    <w:p>
      <w:pPr>
        <w:ind w:left="420"/>
      </w:pPr>
      <w:r>
        <w:t xml:space="preserve">2. Förderung der aktiven und informierten Mitwirkung der Versicherten am Behandlungs- und Rehabilitationsprozess sowie</w:t>
      </w:r>
    </w:p>
    <w:p>
      <w:pPr>
        <w:ind w:left="420"/>
      </w:pPr>
      <w:r>
        <w:t xml:space="preserve">3. Unterstützung der Versicherten bei einer gesundheitsbewussten Lebensführung.</w:t>
      </w:r>
    </w:p>
    <w:p>
      <w:r>
        <w:t xml:space="preserve">(2) Die Krankenkassen und Leistungserbringer sowie ihre Verbände sollen den Übergang zur elektronischen Kommunikation nach Absatz 1 finanziell unterstützen.</w:t>
      </w:r>
    </w:p>
    <w:p>
      <w:r>
        <w:t xml:space="preserve">(3) Krankenkassen und ihre Verbände dürfen im Rahmen von Pilotprojekten für die Dauer von bis zu zwei Jahren, längstens bis zu dem in Satz 4 genannten Zeitpunkt, Verfahren zur elektronischen Übermittlung von Verordnungen und zur Abrechnung von Leistungen nach § 33a erproben, bei denen eine Übermittlung von Verordnungen in Textform erfolgt. Die Pilotvorhaben müssen den Anforderungen der Richtlinie nach § 217f Absatz 4b entsprechen. Im Rahmen der Verfahren nach Satz 1 darf nicht in die ärztliche Therapiefreiheit eingegriffen oder die Wahlfreiheit der Versicherten beschränkt werden. Für die elektronische Übermittlung von Verordnungen von Leistungen nach § 33a sind ausschließlich geeignete Dienste der Telematikinfrastruktur zu verwenden, sobald diese zur Verfügung stehen. Im Rahmen der Pilotvorhaben ist zu gewährleisten, dass den Versicherten eine Nutzung einer digitalen Gesundheitsanwendung in der Regel innerhalb von zwei Arbeitstagen ab dem Zeitpunkt des Eingangs einer Verordnung bei der Krankenkasse ermöglicht wird.</w:t>
      </w:r>
    </w:p>
    <w:p>
      <w:r>
        <w:rPr>
          <w:color w:val="555555"/>
          <w:sz w:val="17"/>
        </w:rPr>
        <w:t xml:space="preserve">Zitiervorschlag: § 67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