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SGB 5 — Leistungsanspruch</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01.01.2025 (konsolidierte Textfassung, kein amtliches Inkrafttretensdatum)</w:t>
      </w:r>
    </w:p>
    <w:p>
      <w:r>
        <w:t xml:space="preserve">(1) Versicherte haben nach den Vorgaben in den Sätzen 2 bis 7 Anspruch auf befundbezogene Festzuschüsse bei einer medizinisch notwendigen Versorgung mit Zahnersatz einschließlich Zahnkronen und Suprakonstruktionen (zahnärztliche und zahntechnische Leistungen) in den Fällen, in denen eine zahnprothetische Versorgung notwendig ist und die geplante Versorgung einer Methode entspricht, die gemäß § 135 Abs. 1 anerkannt ist. Die Festzuschüsse umfassen 60 Prozent der nach § 57 Absatz 1 Satz 3 und Absatz 2 Satz 5 und 6 festgesetzten Beträge für die jeweilige Regelversorgung. Für eigene Bemühungen zur Gesunderhaltung der Zähne erhöhen sich die Festzuschüsse nach Satz 2 auf 70 Prozent. Die Erhöhung entfällt, wenn der Gebisszustand des Versicherten regelmäßige Zahnpflege nicht erkennen lässt und der Versicherte während der letzten fünf Jahre vor Beginn der Behandlung</w:t>
      </w:r>
    </w:p>
    <w:p>
      <w:pPr>
        <w:ind w:left="420"/>
      </w:pPr>
      <w:r>
        <w:t xml:space="preserve">1. die Untersuchungen nach § 22 Abs. 1 nicht in jedem Kalenderhalbjahr in Anspruch genommen hat und</w:t>
      </w:r>
    </w:p>
    <w:p>
      <w:pPr>
        <w:ind w:left="420"/>
      </w:pPr>
      <w:r>
        <w:t xml:space="preserve">2. sich nach Vollendung des 18. Lebensjahres nicht wenigstens einmal in jedem Kalenderjahr hat zahnärztlich untersuchen lassen.</w:t>
      </w:r>
    </w:p>
    <w:p>
      <w:r>
        <w:t xml:space="preserve">Die Festzuschüsse nach Satz 2 erhöhen sich auf 75 Prozent, wenn der Versicherte seine Zähne regelmäßig gepflegt und in den letzten zehn Kalenderjahren vor Beginn der Behandlung die Untersuchungen nach Satz 4 Nr. 1 und 2 ohne Unterbrechung in Anspruch genommen hat. Abweichend von den Sätzen 4 und 5 entfällt die Erhöhung der Festzuschüsse nicht aufgrund einer Nichtinanspruchnahme der Untersuchungen nach Satz 4 im Kalenderjahr 2020. In begründeten Ausnahmefällen können die Krankenkassen abweichend von Satz 5 und unabhängig von Satz 6 die Festzuschüsse nach Satz 2 auf 75 Prozent erhöhen, wenn der Versicherte seine Zähne regelmäßig gepflegt und in den letzten zehn Jahren vor Beginn der Behandlungen die Untersuchungen nach Satz 4 Nummer 1 und 2 nur mit einer einmaligen Unterbrechung in Anspruch genommen hat. Dies gilt nicht in den Fällen des Absatzes 2. Bei allen vor dem 20. Juli 2021 bewilligten Festzuschüssen, die sich durch die Anwendung des Satzes 6 rückwirkend erhöhen, ist die Krankenkasse gegenüber dem Versicherten zur Erstattung des Betrages verpflichtet, um den sich der Festzuschuss nach Satz 6 erhöht; dies gilt auch in den Fällen, in denen die von der Krankenkasse genehmigte Versorgung mit zahnärztlichen und zahntechnischen Leistungen zwar begonnen, aber noch nicht beendet worden ist. Das Nähere zur Erstattung regeln die Bundesmantelvertragspartner.</w:t>
      </w:r>
    </w:p>
    <w:p>
      <w:r>
        <w:t xml:space="preserve">(2) Versicherte haben bei der Versorgung mit Zahnersatz zusätzlich zu den Festzuschüssen nach Absatz 1 Satz 2 Anspruch auf einen Betrag in Höhe von 40 Prozent der nach § 57 Absatz 1 Satz 3 und Absatz 2 Satz 5 und 6 festgesetzten Beträge für die jeweilige Regelversorgung, angepasst an die Höhe der für die Regelversorgungsleistungen tatsächlich anfallenden Kosten, höchstens jedoch in Höhe der tatsächlich entstandenen Kosten, wenn sie ansonsten unzumutbar belastet würden; wählen Versicherte, die unzumutbar belastet würden, nach Absatz 4 oder 5 einen über die Regelversorgung hinausgehenden gleich- oder andersartigen Zahnersatz, leisten die Krankenkassen nur den Festzuschuss nach Absatz 1 Satz 2 und den Betrag in Höhe von 40 Prozent der nach § 57 Absatz 1 Satz 3 und Absatz 2 Satz 5 und 6 festgesetzten Beträge für die jeweilige Regelversorgung. Eine unzumutbare Belastung liegt vor, wenn</w:t>
      </w:r>
    </w:p>
    <w:p>
      <w:pPr>
        <w:ind w:left="420"/>
      </w:pPr>
      <w:r>
        <w:t xml:space="preserve">1. die monatlichen Bruttoeinnahmen zum Lebensunterhalt des Versicherten 40 vom Hundert der monatlichen Bezugsgröße nach § 18 des Vierten Buches nicht überschreiten,</w:t>
      </w:r>
    </w:p>
    <w:p>
      <w:pPr>
        <w:ind w:left="420"/>
      </w:pPr>
      <w:r>
        <w:t xml:space="preserve">2. der Versicherte Hilfe zum Lebensunterhalt nach dem Zwölften Buch Leistungen zum Lebensunterhalt nach § 93 des Vierzehnten Buches, Leistungen nach dem Recht der bedarfsorientierten Grundsicherung, Leistungen zur Sicherung des Lebensunterhalts nach dem Zweiten Buch, Ausbildungsförderung nach dem Bundesausbildungsförderungsgesetz oder dem Dritten Buch erhält oder</w:t>
      </w:r>
    </w:p>
    <w:p>
      <w:pPr>
        <w:ind w:left="420"/>
      </w:pPr>
      <w:r>
        <w:t xml:space="preserve">3. die Kosten der Unterbringung in einem Heim oder einer ähnlichen Einrichtung von einem Träger der Sozialhilfe, der Sozialen Entschädigung oder der Soldatenentschädigung getragen werden.</w:t>
      </w:r>
    </w:p>
    <w:p>
      <w:r>
        <w:t xml:space="preserve">Als Einnahmen zum Lebensunterhalt der Versicherten gelten auch die Einnahmen anderer in dem gemeinsamen Haushalt lebender Angehöriger und Angehöriger des Lebenspartners. Zu den Einnahmen zum Lebensunterhalt gehören nicht Entschädigungszahlungen nach dem Vierzehnten Buch oder nach anderen Gesetzen in entsprechender Anwendung des Vierzehnten Buches erhalten, sowie Renten oder Beihilfen, die nach dem Bundesentschädigungsgesetz für Schäden an Körper und Gesundheit gezahlt werden, bis zur Höhe der vergleichbaren Entschädigungszahlungen nach dem Vierzehnten Buch. Zu den Einnahmen zum Lebensunterhalt gehört auch nicht der Ausgleich für gesundheitliche Schädigungsfolgen nach dem Soldatenentschädigungsgesetz. Der in Satz 2 Nr. 1 genannte Vomhundertsatz erhöht sich für den ersten in dem gemeinsamen Haushalt lebenden Angehörigen des Versicherten um 15 vom Hundert und für jeden weiteren in dem gemeinsamen Haushalt lebenden Angehörigen des Versicherten und des Lebenspartners um 10 vom Hundert der monatlichen Bezugsgröße nach § 18 des Vierten Buches.</w:t>
      </w:r>
    </w:p>
    <w:p>
      <w:r>
        <w:t xml:space="preserve">(3) Versicherte haben bei der Versorgung mit Zahnersatz zusätzlich zu den Festzuschüssen nach Absatz 1 Satz 2 Anspruch auf einen weiteren Betrag. Die Krankenkasse erstattet den Versicherten den Betrag, um den die Festzuschüsse nach Absatz 1 Satz 2 das Dreifache der Differenz zwischen den monatlichen Bruttoeinnahmen zum Lebensunterhalt und der zur Gewährung eines Gesamtbetrages aus dem Festzuschuss nach Absatz 1 Satz 2 und des zusätzlichen Betrages nach Absatz 2 Satz 1 maßgebenden Einnahmegrenze übersteigen. Die Beteiligung an den Kosten umfasst höchstens einen Betrag in Höhe eines Gesamtbetrages bestehend aus dem Festzuschuss nach Absatz 1 Satz 2 und des zusätzlichen Betrages nach Absatz 2 Satz 1, jedoch nicht mehr als die tatsächlich entstandenen Kosten.</w:t>
      </w:r>
    </w:p>
    <w:p>
      <w:r>
        <w:t xml:space="preserve">(4) Wählen Versicherte einen über die Regelversorgung gemäß § 56 Abs. 2 hinausgehenden gleichartigen Zahnersatz, haben sie die Mehrkosten gegenüber den in § 56 Abs. 2 Satz 10 aufgelisteten Leistungen selbst zu tragen.</w:t>
      </w:r>
    </w:p>
    <w:p>
      <w:r>
        <w:t xml:space="preserve">(5) Die Krankenkassen haben die bewilligten Festzuschüsse nach Absatz 1 Satz 2 bis 7, den Absätzen 2 und 3 in den Fällen zu erstatten, in denen eine von der Regelversorgung nach § 56 Abs. 2 abweichende, andersartige Versorgung durchgeführt wird.</w:t>
      </w:r>
    </w:p>
    <w:p>
      <w:r>
        <w:rPr>
          <w:color w:val="555555"/>
          <w:sz w:val="17"/>
        </w:rPr>
        <w:t xml:space="preserve">Zitiervorschlag: § 55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