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SGB 5 — Wegfall des Krankengeldes, Antrag auf Leistungen zur Teilhabe</w:t>
      </w:r>
    </w:p>
    <w:p>
      <w:r>
        <w:rPr>
          <w:color w:val="555555"/>
          <w:sz w:val="18"/>
        </w:rPr>
        <w:t xml:space="preserve">Sozialgesetzbuch (SGB) Fünftes Buch (V) - Gesetzliche Krankenversicherung - (Artikel 1 des Gesetzes v. 20. Dezember 1988, BGBl. I S. 2477)</w:t>
      </w:r>
    </w:p>
    <w:p>
      <w:r>
        <w:rPr>
          <w:color w:val="555555"/>
          <w:sz w:val="18"/>
        </w:rPr>
        <w:t xml:space="preserve">Stand: 12.01.2023 (konsolidierte Textfassung, kein amtliches Inkrafttretensdatum)</w:t>
      </w:r>
    </w:p>
    <w:p>
      <w:r>
        <w:t xml:space="preserve">(1) Versicherten, deren Erwerbsfähigkeit nach ärztlichem Gutachten erheblich gefährdet oder gemindert ist, kann die Krankenkasse eine Frist von zehn Wochen setzen, innerhalb der sie einen Antrag auf Leistungen zur medizinischen Rehabilitation und zur Teilhabe am Arbeitsleben zu stellen haben. Haben diese Versicherten ihren Wohnsitz oder gewöhnlichen Aufenthalt im Ausland, kann ihnen die Krankenkasse eine Frist von zehn Wochen setzen, innerhalb der sie entweder einen Antrag auf Leistungen zur medizinischen Rehabilitation und zur Teilhabe am Arbeitsleben bei einem Leistungsträger mit Sitz im Inland oder einen Antrag auf Rente wegen voller Erwerbsminderung bei einem Träger der gesetzlichen Rentenversicherung mit Sitz im Inland zu stellen haben.</w:t>
      </w:r>
    </w:p>
    <w:p>
      <w:r>
        <w:t xml:space="preserve">(1a) (weggefallen)</w:t>
      </w:r>
    </w:p>
    <w:p>
      <w:r>
        <w:t xml:space="preserve">(2) Erfüllen Versicherte die Voraussetzungen für den Bezug der Regelaltersrente der gesetzlichen Rentenversicherung oder der Alterssicherung der Landwirte mit Erreichen der Regelaltersgrenze, kann ihnen die Krankenkasse eine Frist von zehn Wochen setzen, innerhalb der sie den Antrag auf diese Leistung zu stellen haben.</w:t>
      </w:r>
    </w:p>
    <w:p>
      <w:r>
        <w:t xml:space="preserve">(3) Stellen Versicherte innerhalb der Frist den Antrag nicht, entfällt der Anspruch auf Krankengeld mit Ablauf der Frist. Wird der Antrag später gestellt, lebt der Anspruch auf Krankengeld mit dem Tag der Antragstellung wieder auf.</w:t>
      </w:r>
    </w:p>
    <w:p>
      <w:r>
        <w:rPr>
          <w:color w:val="555555"/>
          <w:sz w:val="17"/>
        </w:rPr>
        <w:t xml:space="preserve">Zitiervorschlag: § 51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