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425 SGB 5 — Evaluierung des Arzneimittel-Lieferengpassbekämpfungs- und Versorgungsverbesserungsgesetzes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27.07.2023 (konsolidierte Textfassung, kein amtliches Inkrafttretensdatum)</w:t>
      </w:r>
    </w:p>
    <w:p>
      <w:r>
        <w:t xml:space="preserve">(1) Der Spitzenverband Bund der Krankenkassen hat dem Bundesministerium für Gesundheit bis zum 31. Dezember 2025 einen Bericht zur Umsetzung der durch das Arzneimittel-Lieferengpassbekämpfungs- und Versorgungsverbesserungsgesetz vom 19. Juli 2023 (BGBl. 2023 I Nr. 197) eingeführten, der Verbesserung der Arzneimittelversorgung dienenden Maßnahmen durch den Spitzenverband Bund der Krankenkassen, die Krankenkassen oder ihre Verbände sowie zu den Auswirkungen der durch die Artikel 1 bis 4 des Arzneimittel-Lieferengpassbekämpfungs- und Versorgungsverbesserungsgesetzes eingeführten Änderungen des Arzneimittelgesetzes, dieses Gesetzes, des Apothekengesetzes und der Apothekenbetriebsordnung auf die Ausgaben der Krankenkassen, die Zusammensetzung der Lose nach § 130a Absatz 8a und auf die Auswirkungen der Änderungen der Freistellung von der Zuzahlung vorzulegen.</w:t>
      </w:r>
    </w:p>
    <w:p>
      <w:r>
        <w:t xml:space="preserve">(2) Das Bundesinstitut für Arzneimittel und Medizinprodukte hat dem Bundesministerium für Gesundheit bis zum 31. Dezember 2025 einen Bericht darüber vorzulegen, wie sich die durch die Artikel 1 bis 4 des Arzneimittel-Lieferengpassbekämpfungs- und Versorgungsverbesserungsgesetzes eingeführten Änderungen des Arzneimittelgesetzes, dieses Gesetzes, des Apothekengesetzes und der Apothekenbetriebsordnung auf die Versorgungslage mit Arzneimitteln ausgewirkt haben. Soweit Arzneimittel im Zuständigkeitsbereich des Paul-Ehrlich-Instituts betroffen sind, ist der Bericht im Einvernehmen mit dem Paul-Ehrlich-Institut zu erstellen.</w:t>
      </w:r>
    </w:p>
    <w:p>
      <w:r>
        <w:t xml:space="preserve">(3) Abweichend von den Absätzen 1 und 2 sind die dort genannten Berichte hinsichtlich der Änderungen des § 130a Absatz 8 bis 8b jeweils bis zum 31. Dezember 2025 und bis zum 31. Dezember 2028 vorzulegen.</w:t>
      </w:r>
    </w:p>
    <w:p>
      <w:r>
        <w:rPr>
          <w:color w:val="555555"/>
          <w:sz w:val="17"/>
        </w:rPr>
        <w:t xml:space="preserve">Zitiervorschlag: § 425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https://recht.nulegal.eu/gesetze/SGB%205/425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425 SGB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