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413 SGB 5 — Übergangsregelung zur Tragung der Beiträge durch Dritte für Auszubildende in einer außerbetrieblichen Einrichtung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12.06.2021 (konsolidierte Textfassung, kein amtliches Inkrafttretensdatum)</w:t>
      </w:r>
    </w:p>
    <w:p>
      <w:r>
        <w:t xml:space="preserve">§ 251 Absatz 4c in der bis zum 31. Dezember 2019 geltenden Fassung sowie § 242 Absatz 3 Satz 1 Nummer 1 in der bis zum 30. Juni 2020 geltenden Fassung sind weiterhin anzuwenden, wenn die Berufsausbildung in einer außerbetrieblichen Einrichtung vor dem 1. Januar 2020 begonnen wurde.</w:t>
      </w:r>
    </w:p>
    <w:p>
      <w:r>
        <w:rPr>
          <w:color w:val="555555"/>
          <w:sz w:val="17"/>
        </w:rPr>
        <w:t xml:space="preserve">Zitiervorschlag: § 413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https://recht.nulegal.eu/gesetze/SGB%205/413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