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403 SGB 5 — Beitragszuschüsse für Beschäftigte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24.08.2021 (konsolidierte Textfassung, kein amtliches Inkrafttretensdatum)</w:t>
      </w:r>
    </w:p>
    <w:p>
      <w:r>
        <w:t xml:space="preserve">(1) Versicherungsverträge, die den Standardtarif nach § 257 Absatz 2a in der bis zum 31. Dezember 2008 geltenden Fassung zum Gegenstand haben, werden auf Antrag der Versicherten auf Versicherungsverträge nach dem Basistarif gemäß § 152 Absatz 1 des Versicherungsaufsichtsgesetzes umgestellt.</w:t>
      </w:r>
    </w:p>
    <w:p>
      <w:r>
        <w:t xml:space="preserve">(2) Zur Gewährleistung der in § 257 Absatz 2a Satz 1 Nummer 2 bis 2c in der bis zum 31. Dezember 2008 geltenden Fassung genannten Begrenzung bleiben im Hinblick auf die ab dem 1. Januar 2009 weiterhin im Standardtarif Versicherten alle Versicherungsunternehmen, die die nach § 257 Absatz 2 zuschussberechtigte Krankenversicherung betreiben, verpflichtet, an einem finanziellen Spitzenausgleich teilzunehmen, dessen Ausgestaltung zusammen mit den Einzelheiten des Standardtarifs zwischen der Bundesanstalt für Finanzdienstleistungsaufsicht und dem Verband der privaten Krankenversicherung mit Wirkung für die beteiligten Unternehmen zu vereinbaren ist und der eine gleichmäßige Belastung dieser Unternehmen bewirkt. Für in § 257 Absatz 2a Satz 1 Nummer 2c in der bis 31. Dezember 2008 geltenden Fassung genannte Personen, bei denen eine Behinderung nach § 4 Absatz 1 des Schwerbehindertengesetzes festgestellt worden ist, wird ein fiktiver Zuschlag von 100 Prozent auf die Bruttoprämie angerechnet, der in den Ausgleich nach Satz 1 einbezogen wird.</w:t>
      </w:r>
    </w:p>
    <w:p>
      <w:r>
        <w:rPr>
          <w:color w:val="555555"/>
          <w:sz w:val="17"/>
        </w:rPr>
        <w:t xml:space="preserve">Zitiervorschlag: § 403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