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SGB 5 — Krankenkassen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05.08.2026 (konsolidierte Textfassung, kein amtliches Inkrafttretensdatum)</w:t>
      </w:r>
    </w:p>
    <w:p>
      <w:r>
        <w:t xml:space="preserve">(1) Die Krankenkassen sind rechtsfähige Körperschaften des öffentlichen Rechts mit Selbstverwaltung.</w:t>
      </w:r>
    </w:p>
    <w:p>
      <w:r>
        <w:t xml:space="preserve">(2) Die Krankenversicherung ist in folgende Kassenarten gegliedert: Allgemeine Ortskrankenkassen, Betriebskrankenkassen, Innungskrankenkassen, Sozialversicherung für Landwirtschaft, Forsten und Gartenbau als Träger der Krankenversicherung der Landwirte, die Deutsche Rentenversicherung Knappschaft-Bahn-See als Träger der Krankenversicherung (Deutsche Rentenversicherung Knappschaft-Bahn-See), Ersatzkassen.</w:t>
      </w:r>
    </w:p>
    <w:p>
      <w:r>
        <w:t xml:space="preserve">(3) Im Interesse der Leistungsfähigkeit und Wirtschaftlichkeit der gesetzlichen Krankenversicherung arbeiten die Krankenkassen und ihre Verbände sowohl innerhalb einer Kassenart als auch kassenartenübergreifend miteinander und mit allen anderen Einrichtungen des Gesundheitswesens eng zusammen.</w:t>
      </w:r>
    </w:p>
    <w:p>
      <w:r>
        <w:t xml:space="preserve">(4) Die Krankenkassen haben bei der Durchführung ihrer Aufgaben und in ihren Verwaltungsangelegenheiten sparsam und wirtschaftlich zu verfahren und dabei ihre Ausgaben so auszurichten, dass Beitragserhöhungen ausgeschlossen werden, es sei denn, die notwendige medizinische Versorgung ist auch nach Ausschöpfung von Wirtschaftlichkeitsreserven nicht zu gewährleisten.</w:t>
      </w:r>
    </w:p>
    <w:p>
      <w:r>
        <w:t xml:space="preserve">(5) Ab dem Haushaltsjahr 2027 dürfen sich die Verwaltungsausgaben einer Krankenkasse mit Ausnahme der Verwaltungsausgaben der landwirtschaftlichen Krankenkasse und der knappschaftlichen Krankenversicherung im Verhältnis zu ihren Verwaltungsausgaben im jeweils vorangegangenen Haushaltsjahr nur nach Maßgabe der für das jeweilige Kalenderjahr nach § 71 Absatz 3 Satz 5 veröffentlichten durchschnittlichen Veränderungsrate je Versicherten erhöhen. Die Begrenzung nach Satz 1 gilt nicht für Aufwendungen zum Schutz der kritischen Infrastruktur im Bereich Sicherheit der Informationstechnik sowie für Aufwendungen, die für die Durchführung der Sozialversicherungswahlen als Online-Wahl entstehen. Für die Verwaltungsausgaben der knappschaftlichen Krankenversicherung gilt § 18a Absatz 2 des Zweiten Gesetzes über die Krankenversicherung der Landwirte entsprechend.</w:t>
      </w:r>
    </w:p>
    <w:p>
      <w:r>
        <w:t xml:space="preserve">(6) Im Jahr 2026 dürfen sich die sächlichen Verwaltungsausgaben einer Krankenkasse nicht um mehr als 8 Prozent gegenüber dem Jahr 2024 erhöhen. Die Begrenzung nach Satz 1 gilt nicht für Aufwendungen für Datentransparenz nach den §§ 303a bis 303e.</w:t>
      </w:r>
    </w:p>
    <w:p>
      <w:r>
        <w:rPr>
          <w:color w:val="555555"/>
          <w:sz w:val="17"/>
        </w:rPr>
        <w:t xml:space="preserve">Zitiervorschlag: § 4 SGB 5</w:t>
      </w:r>
    </w:p>
    <w:p>
      <w:r>
        <w:rPr>
          <w:color w:val="555555"/>
          <w:sz w:val="17"/>
        </w:rPr>
        <w:t xml:space="preserve">Quelle: Bundesamt für Justiz, abgerufen 05.08.2026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SGB 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