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395 SGB 5 — Nationales Gesundheitsportal</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12.06.2021 (konsolidierte Textfassung, kein amtliches Inkrafttretensdatum)</w:t>
      </w:r>
    </w:p>
    <w:p>
      <w:r>
        <w:t xml:space="preserve">(1) Das Bundesministerium für Gesundheit errichtet und betreibt ein elektronisches, über allgemein zugängliche Netze sowie über die Telematikinfrastruktur nach § 306 aufrufbares Informationsportal, das gesundheits- und pflegebezogene Informationen barrierefrei in allgemein verständlicher Sprache zur Verfügung stellt (Nationales Gesundheitsportal).</w:t>
      </w:r>
    </w:p>
    <w:p>
      <w:r>
        <w:t xml:space="preserve">(2) Die Kassenärztlichen Bundesvereinigungen haben die Aufgabe, auf Suchanfragen der Nutzer nach bestimmten vertragsärztlichen Leistungserbringern über das Nationale Gesundheitsportal die in Satz 3 Nummer 1 bis 6 genannten, für die Suchanfrage relevanten arztbezogenen Informationen an das Nationale Gesundheitsportal zu übermitteln. Die Suchergebnisse werden im Nationalen Gesundheitsportal dargestellt. Die Kassenärztlichen Vereinigungen übermitteln ihrer jeweiligen Bundesvereinigung zu diesem Zweck regelmäßig aus den rechtmäßig von ihnen erhobenen Daten folgende Angaben:</w:t>
      </w:r>
    </w:p>
    <w:p>
      <w:pPr>
        <w:ind w:left="420"/>
      </w:pPr>
      <w:r>
        <w:t xml:space="preserve">1. den Vor- und Zunamen des Arztes und dessen akademischen Grad,</w:t>
      </w:r>
    </w:p>
    <w:p>
      <w:pPr>
        <w:ind w:left="420"/>
      </w:pPr>
      <w:r>
        <w:t xml:space="preserve">2. die Adresse, Telefonnummer und E-Mail-Adresse der Praxis oder der an der Versorgung teilnehmenden Einrichtung, in der der Arzt tätig ist,</w:t>
      </w:r>
    </w:p>
    <w:p>
      <w:pPr>
        <w:ind w:left="420"/>
      </w:pPr>
      <w:r>
        <w:t xml:space="preserve">3. die Fachgebiets-, Schwerpunkt- und Zusatzbezeichnungen,</w:t>
      </w:r>
    </w:p>
    <w:p>
      <w:pPr>
        <w:ind w:left="420"/>
      </w:pPr>
      <w:r>
        <w:t xml:space="preserve">4. die Sprechstundenzeiten,</w:t>
      </w:r>
    </w:p>
    <w:p>
      <w:pPr>
        <w:ind w:left="420"/>
      </w:pPr>
      <w:r>
        <w:t xml:space="preserve">5. die Zugangsmöglichkeit von Menschen mit Behinderung (Barrierefreiheit) zu der vertragsärztlichen Praxis oder der an der vertragsärztlichen Versorgung teilnehmenden Einrichtung, in der der Arzt tätig ist, sowie</w:t>
      </w:r>
    </w:p>
    <w:p>
      <w:pPr>
        <w:ind w:left="420"/>
      </w:pPr>
      <w:r>
        <w:t xml:space="preserve">6. das Vorliegen von Abrechnungsgenehmigungen für besonders qualitätsgesicherte Leistungsbereiche in der vertragsärztlichen Versorgung.</w:t>
      </w:r>
    </w:p>
    <w:p>
      <w:r>
        <w:t xml:space="preserve">(3) Die Übermittlungspflicht nach Absatz 2 Satz 3 gilt auch für ermächtigte Einrichtungen, jedoch mit der Maßgabe, dass die Angaben nach Absatz 2 Satz 3 Nummer 2 bis 5 ohne Arztbezug einrichtungsbezogen übermittelt werden.</w:t>
      </w:r>
    </w:p>
    <w:p>
      <w:r>
        <w:t xml:space="preserve">(4) Das Bundesministerium für Gesundheit legt in Abstimmung mit den Kassenärztlichen Bundesvereinigungen bis zum 31. Dezember 2021 das Nähere fest</w:t>
      </w:r>
    </w:p>
    <w:p>
      <w:pPr>
        <w:ind w:left="420"/>
      </w:pPr>
      <w:r>
        <w:t xml:space="preserve">1. zur Struktur und zum Format der Daten sowie</w:t>
      </w:r>
    </w:p>
    <w:p>
      <w:pPr>
        <w:ind w:left="420"/>
      </w:pPr>
      <w:r>
        <w:t xml:space="preserve">2. zum technischen Übermittlungsverfahren.</w:t>
      </w:r>
    </w:p>
    <w:p>
      <w:r>
        <w:t xml:space="preserve">(5) Soweit sich die Vorschriften dieses Kapitels auf Ärzte und Kassenärztliche Vereinigungen beziehen, gelten sie entsprechend für Psychotherapeuten, Zahnärzte und Kassenzahnärztliche Vereinigungen, sofern nichts Abweichendes bestimmt ist.</w:t>
      </w:r>
    </w:p>
    <w:p>
      <w:r>
        <w:rPr>
          <w:color w:val="555555"/>
          <w:sz w:val="17"/>
        </w:rPr>
        <w:t xml:space="preserve">Zitiervorschlag: § 395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