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362a SGB 5 — Nutzung der elektronischen Gesundheitskarte bei Krankenbehandlung der Sozialen Entschädigung nach dem Vierzehnten Buch</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12.06.2021 (konsolidierte Textfassung, kein amtliches Inkrafttretensdatum)</w:t>
      </w:r>
    </w:p>
    <w:p>
      <w:r>
        <w:t xml:space="preserve">Wird die Telematikinfrastruktur für Anwendungen im Bereich der Krankenbehandlung der Sozialen Entschädigung nach dem Vierzehnten Buch unter Nutzung elektronischer Gesundheitskarten oder hiermit technisch kompatibler Karten zum Zweck des Nachweises der Leistungsberechtigung und der Abrechnung von Leistungen in diesem Bereich verwendet, gilt § 327 entsprechend. § 291a bleibt unberührt.</w:t>
      </w:r>
    </w:p>
    <w:p>
      <w:r>
        <w:rPr>
          <w:color w:val="555555"/>
          <w:sz w:val="17"/>
        </w:rPr>
        <w:t xml:space="preserve">Zitiervorschlag: § 362a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