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331 SGB 5 — Maßnahmen zur Überwachung des Betriebs zur Gewährleistung der Sicherheit, Verfügbarkeit und Nutzbarkeit der Telematikinfrastruktur</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Die Gesellschaft für Telematik hat ab dem 1. Januar 2021 für Komponenten und Dienste der Telematikinfrastruktur sowie für Komponenten und Dienste, die die Telematikinfrastruktur nutzen, aber außerhalb der Telematikinfrastruktur betrieben werden, im Benehmen mit dem Bundesamt für Sicherheit in der Informationstechnik solche Maßnahmen zur Überwachung des Betriebs zu treffen, die erforderlich sind, um die Sicherheit, Verfügbarkeit und Nutzbarkeit der Telematikinfrastruktur zu gewährleisten. Die Gesellschaft für Telematik kann zur Erfüllung ihrer Aufgaben nach Satz 1 die entsprechenden Komponenten und Dienste untersuchen. Sie kann sich hierbei der Unterstützung Dritter bedienen, soweit berechtigte Interessen des Herstellers oder Anbieters der betroffenen Komponenten oder Dienste dem nicht entgegenstehen.</w:t>
      </w:r>
    </w:p>
    <w:p>
      <w:r>
        <w:t xml:space="preserve">(2) Die Gesellschaft für Telematik legt fest, welche näheren Angaben ihr die Anbieter der Komponenten und Dienste offenzulegen haben, damit die Überwachung nach Absatz 1 durchgeführt werden kann.</w:t>
      </w:r>
    </w:p>
    <w:p>
      <w:r>
        <w:t xml:space="preserve">(3) Die Verpflichtung der Gesellschaft für Telematik nach § 330 Absatz 1 Satz 1, zur Vermeidung von Störungen angemessene organisatorische und technische Vorkehrungen zu treffen, umfasst auch den Einsatz von geeigneten Systemen zur Erkennung von Störungen und Angriffen. Der Einsatz der Systeme erfolgt im Benehmen mit der oder dem Bundesbeauftragten für den Datenschutz und die Informationsfreiheit und dem Bundesamt für Sicherheit in der Informationstechnik.</w:t>
      </w:r>
    </w:p>
    <w:p>
      <w:r>
        <w:t xml:space="preserve">(4) Die Gesellschaft für Telematik darf die für den Einsatz der Systeme nach Absatz 3 erforderlichen Daten, einschließlich personenbezogener Daten, verarbeiten. Die im Rahmen des Einsatzes dieser Systeme verarbeiteten Daten sind unverzüglich zu löschen, wenn sie für die Vermeidung von Störungen nach § 330 Absatz 1 Satz 1 nicht mehr erforderlich sind, spätestens jedoch nach zehn Jahren.</w:t>
      </w:r>
    </w:p>
    <w:p>
      <w:r>
        <w:t xml:space="preserve">(5) Die Gesellschaft für Telematik darf, soweit es für die Durchführung der Maßnahmen nach Absatz 1 und im Rahmen der Vorkehrungen nach Absatz 3 erforderlich ist, die für den Zugriff auf Anwendungen der Telematikinfrastruktur nach § 334 Absatz 1 Satz 2, auf Anwendungen zur Überprüfung und Aktualisierung von Angaben nach § 291b und auf sichere Verfahren zur Übermittlung medizinischer Daten nach § 311 Absatz 6 erforderlichen Komponenten zur Identifikation und Authentifizierung im Rahmen von hierzu erstellten Prüfnutzeridentitäten nutzen. Die Nutzung darf ausschließlich für Prüfzwecke erfolgen und die Einzelheiten sind im Benehmen mit dem Bundesamt für Sicherheit in der Informationstechnik und der oder dem Bundesbeauftragten für den Datenschutz und die Informationsfreiheit festzulegen. Es muss dabei technisch und organisatorisch gewährleistet sein, dass ein Zugriff auf personenbezogene Daten von Nutzern der Telematikinfrastruktur ausgeschlossen ist, die keine Prüfnutzeridentitäten verwenden. Die Prüfnutzeridentitäten dürfen von höchstens sieben, nach dem Sicherheitsüberprüfungsgesetz überprüften Mitarbeitern der Gesellschaft für Telematik genutzt werden. Die Zugriffe nach Satz 1 müssen protokolliert und jährlich oder auf Anforderung der oder dem Bundesbeauftragten für den Datenschutz und die Informationsfreiheit vorgelegt werden. Die Protokolldaten müssen enthalten, durch wen und zu welchem Zweck die Komponenten nach Satz 1 eingesetzt wurden und sind für drei Jahre zu speichern. Die nach Satz 1 erforderlichen Komponenten sind der Gesellschaft für Telematik auf Verlangen durch die jeweils für die Ausgabe zuständige Stelle gegen Kostenerstattung zur Verfügung zu stellen.</w:t>
      </w:r>
    </w:p>
    <w:p>
      <w:r>
        <w:t xml:space="preserve">(6) Die für die Aufgaben nach dem Zehnten und diesem Kapitel beim Bundesamt für Sicherheit in der Informationstechnik entstehenden Kosten sind diesem durch die Gesellschaft für Telematik pauschal in Höhe der Kosten für zehn Vollzeitäquivalente zu erstatten. Zusätzlich werden die Kosten des Bundesamts für Sicherheit in der Informationstechnik für erforderliche Unterstützungsleistungen Dritter durch die Gesellschaft für Telematik in Höhe der tatsächlich anfallenden Kosten erstattet. Die Gesellschaft für Telematik legt die Einzelheiten der Kostenerstattung für Unterstützungsleistungen nach Satz 2 im Benehmen mit dem Bundesamt für Sicherheit in der Informationstechnik fest.</w:t>
      </w:r>
    </w:p>
    <w:p>
      <w:r>
        <w:rPr>
          <w:color w:val="555555"/>
          <w:sz w:val="17"/>
        </w:rPr>
        <w:t xml:space="preserve">Zitiervorschlag: § 331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331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