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291c SGB 5 — Einzug, Sperrung oder weitere Nutzung der elektronischen Gesundheitskarte nach Krankenkassenwechsel; Austausch der elektronischen Gesundheitskarte</w:t>
      </w:r>
    </w:p>
    <w:p>
      <w:r>
        <w:rPr>
          <w:color w:val="555555"/>
          <w:sz w:val="18"/>
        </w:rPr>
        <w:t xml:space="preserve">Sozialgesetzbuch (SGB) Fünftes Buch (V) - Gesetzliche Krankenversicherung - (Artikel 1 des Gesetzes v. 20. Dezember 1988, BGBl. I S. 2477)</w:t>
      </w:r>
    </w:p>
    <w:p>
      <w:r>
        <w:rPr>
          <w:color w:val="555555"/>
          <w:sz w:val="18"/>
        </w:rPr>
        <w:t xml:space="preserve">Stand: 12.06.2021 (konsolidierte Textfassung, kein amtliches Inkrafttretensdatum)</w:t>
      </w:r>
    </w:p>
    <w:p>
      <w:r>
        <w:t xml:space="preserve">(1) Bei Beendigung des Versicherungsschutzes oder bei einem Krankenkassenwechsel ist die elektronische Gesundheitskarte von der Krankenkasse, die diese elektronische Gesundheitskarte ausgestellt hat, einzuziehen oder zu sperren und nach dem Stand der Technik zu vernichten.</w:t>
      </w:r>
    </w:p>
    <w:p>
      <w:r>
        <w:t xml:space="preserve">(2) Wird die elektronische Gesundheitskarte eines Versicherten eingezogen, gesperrt oder im Rahmen eines bestehenden Versicherungsverhältnisses ausgetauscht, so hat die Krankenkasse sicherzustellen, dass der Versicherte weiterhin auf die Daten in den Anwendungen nach § 334 Absatz 1 Nummer 1 und 6 zugreifen und diese Daten verarbeiten kann.</w:t>
      </w:r>
    </w:p>
    <w:p>
      <w:r>
        <w:t xml:space="preserve">(3) Vor dem Einzug der elektronischen Gesundheitskarte und vor dem Austausch der elektronischen Gesundheitskarte im Rahmen eines bestehenden Versicherungsverhältnisses hat die einziehende Krankenkasse über Möglichkeiten zur Löschung der Daten nach § 334 Absatz 1 Satz 2 Nummer 2 bis 5 auf der elektronischen Gesundheitskarte zu informieren.</w:t>
      </w:r>
    </w:p>
    <w:p>
      <w:r>
        <w:rPr>
          <w:color w:val="555555"/>
          <w:sz w:val="17"/>
        </w:rPr>
        <w:t xml:space="preserve">Zitiervorschlag: § 291c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https://recht.nulegal.eu/gesetze/SGB%205/291c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