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287 SGB 5 — Forschungsvorhaben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Die Krankenkassen und die Kassenärztlichen Vereinigungen dürfen mit Erlaubnis der Aufsichtsbehörde die Datenbestände leistungserbringer- oder fallbeziehbar für zeitlich befristete und im Umfang begrenzte Forschungsvorhaben, insbesondere zur Gewinnung epidemiologischer Erkenntnisse, von Erkenntnissen über Zusammenhänge zwischen Erkrankungen und Arbeitsbedingungen oder von Erkenntnissen über örtliche Krankheitsschwerpunkte, selbst auswerten oder über die sich aus § 304 ergebenden Fristen hinaus aufbewahren.</w:t>
      </w:r>
    </w:p>
    <w:p>
      <w:r>
        <w:t xml:space="preserve">(2) Die nach Absatz 1 verarbeiteten Daten sind zu anonymisieren, soweit und sobald dies nach dem Forschungszweck des jeweiligen Forschungsvorhabens möglich ist.</w:t>
      </w:r>
    </w:p>
    <w:p>
      <w:r>
        <w:rPr>
          <w:color w:val="555555"/>
          <w:sz w:val="17"/>
        </w:rPr>
        <w:t xml:space="preserve">Zitiervorschlag: § 287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