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27b SGB 5 — Zweitmeinung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Versicherte, bei denen die Indikation zu einem planbaren Eingriff gestellt wird, bei dem insbesondere im Hinblick auf die zahlenmäßige Entwicklung seiner Durchführung die Gefahr einer Indikationsausweitung nicht auszuschließen ist, haben Anspruch darauf, eine unabhängige ärztliche Zweitmeinung bei einem Arzt oder einer Einrichtung nach Absatz 4 einzuholen. Die Zweitmeinung kann nicht bei einem Arzt oder einer Einrichtung eingeholt werden, durch den oder durch die der Eingriff durchgeführt werden soll.</w:t>
      </w:r>
    </w:p>
    <w:p>
      <w:r>
        <w:t xml:space="preserve">(2) Der Gemeinsame Bundesausschuss bestimmt in seinen Richtlinien nach § 92 Absatz 1 Satz 2 Nummer 13, für welche planbaren Eingriffe nach Absatz 1 Satz 1 der Anspruch auf Einholung der Zweitmeinung im Einzelnen besteht; der Gemeinsame Bundesausschuss soll jährlich mindestens zwei weitere Eingriffe bestimmen, für die Anspruch auf Einholung der Zweitmeinung im Einzelnen besteht. Er legt indikationsspezifische Anforderungen an die Abgabe der Zweitmeinung zum empfohlenen Eingriff und an die Erbringer einer Zweitmeinung fest, um eine besondere Expertise zur Zweitmeinungserbringung zu sichern. Kriterien für die besondere Expertise sind</w:t>
      </w:r>
    </w:p>
    <w:p>
      <w:pPr>
        <w:ind w:left="420"/>
      </w:pPr>
      <w:r>
        <w:t xml:space="preserve">1. eine langjährige fachärztliche Tätigkeit in einem Fachgebiet, das für die Indikation zum Eingriff maßgeblich ist, und</w:t>
      </w:r>
    </w:p>
    <w:p>
      <w:pPr>
        <w:ind w:left="420"/>
      </w:pPr>
      <w:r>
        <w:t xml:space="preserve">2. Kenntnisse über den aktuellen Stand der wissenschaftlichen Forschung zur jeweiligen Diagnostik und Therapie einschließlich Kenntnissen über Therapiealternativen zum empfohlenen Eingriff.</w:t>
      </w:r>
    </w:p>
    <w:p>
      <w:r>
        <w:t xml:space="preserve">Der Gemeinsame Bundesausschuss kann Anforderungen mit zusätzlichen Kriterien festlegen. Zusätzliche Kriterien sind insbesondere</w:t>
      </w:r>
    </w:p>
    <w:p>
      <w:pPr>
        <w:ind w:left="420"/>
      </w:pPr>
      <w:r>
        <w:t xml:space="preserve">1. Erfahrungen mit der Durchführung des jeweiligen Eingriffs,</w:t>
      </w:r>
    </w:p>
    <w:p>
      <w:pPr>
        <w:ind w:left="420"/>
      </w:pPr>
      <w:r>
        <w:t xml:space="preserve">2. regelmäßige gutachterliche Tätigkeit in einem für die Indikation maßgeblichen Fachgebiet oder</w:t>
      </w:r>
    </w:p>
    <w:p>
      <w:pPr>
        <w:ind w:left="420"/>
      </w:pPr>
      <w:r>
        <w:t xml:space="preserve">3. besondere Zusatzqualifikationen, die für die Beurteilung einer gegebenenfalls interdisziplinär abzustimmenden Indikationsstellung von Bedeutung sind.</w:t>
      </w:r>
    </w:p>
    <w:p>
      <w:r>
        <w:t xml:space="preserve">Der Gemeinsame Bundesausschuss berücksichtigt bei den Festlegungen nach Satz 2 die Möglichkeiten einer telemedizinischen Erbringung der Zweitmeinung.</w:t>
      </w:r>
    </w:p>
    <w:p>
      <w:r>
        <w:t xml:space="preserve">(3) Der Vergütungsanspruch des Arztes oder der Einrichtung, durch den oder durch die ein vom Gemeinsamen Bundesausschuss nach Satz 2 bestimmter Eingriff durchgeführt wird, gegen die Krankenkasse entfällt, wenn dem Arzt oder der Einrichtung vor dem Eingriff kein Nachweis über eine eingeholte Zweitmeinung vorliegt. Der Gemeinsame Bundesausschuss bestimmt erstmals bis zum 31. März 2027 mindestens einen und danach jährlich mindestens zwei weitere der von ihm nach Absatz 2 Satz 1 bestimmten, planbaren Eingriffe, für die die Einholung einer Zweitmeinung Voraussetzung für die Vergütung des Arztes oder der Einrichtung für die Durchführung des Eingriffs ist. Das Nähere zu dem in Satz 1 genannten Nachweis bestimmt der Gemeinsame Bundesausschuss in seinen Richtlinien nach § 92 Absatz 1 Satz 2 Nummer 13.</w:t>
      </w:r>
    </w:p>
    <w:p>
      <w:r>
        <w:t xml:space="preserve">(4) Sofern sie die vom Gemeinsamen Bundesausschuss nach Absatz 2 Satz 2 festgelegten Anforderungen erfüllen, sind zur Erbringung einer Zweitmeinung berechtigt:</w:t>
      </w:r>
    </w:p>
    <w:p>
      <w:pPr>
        <w:ind w:left="420"/>
      </w:pPr>
      <w:r>
        <w:t xml:space="preserve">1. zugelassene Ärzte,</w:t>
      </w:r>
    </w:p>
    <w:p>
      <w:pPr>
        <w:ind w:left="420"/>
      </w:pPr>
      <w:r>
        <w:t xml:space="preserve">2. zugelassene medizinische Versorgungszentren,</w:t>
      </w:r>
    </w:p>
    <w:p>
      <w:pPr>
        <w:ind w:left="420"/>
      </w:pPr>
      <w:r>
        <w:t xml:space="preserve">3. ermächtigte Ärzte und Einrichtungen,</w:t>
      </w:r>
    </w:p>
    <w:p>
      <w:pPr>
        <w:ind w:left="420"/>
      </w:pPr>
      <w:r>
        <w:t xml:space="preserve">4. zugelassene Krankenhäuser und</w:t>
      </w:r>
    </w:p>
    <w:p>
      <w:pPr>
        <w:ind w:left="420"/>
      </w:pPr>
      <w:r>
        <w:t xml:space="preserve">5. nicht an der vertragsärztlichen Versorgung teilnehmende Ärzte, die nur zu diesem Zweck an der vertragsärztlichen Versorgung teilnehmen.</w:t>
      </w:r>
    </w:p>
    <w:p>
      <w:r>
        <w:t xml:space="preserve">(5) Die Kassenärztlichen Vereinigungen und die Landeskrankenhausgesellschaften informieren inhaltlich abgestimmt über Leistungserbringer, die unter Berücksichtigung der vom Gemeinsamen Bundesausschuss nach Absatz 2 Satz 2 festgelegten Anforderungen zur Erbringung einer unabhängigen Zweitmeinung geeignet und bereit sind.</w:t>
      </w:r>
    </w:p>
    <w:p>
      <w:r>
        <w:t xml:space="preserve">(6) Der Arzt, der die Indikation für einen Eingriff nach Absatz 1 Satz 1 in Verbindung mit Absatz 2 Satz 1 stellt, muss den Versicherten über das Recht, eine unabhängige ärztliche Zweitmeinung einholen zu können, aufklären und ihn auf die Informationsangebote über geeignete Leistungserbringer nach Absatz 5 hinweisen. Bei vom Gemeinsamen Bundesausschuss nach Absatz 3 Satz 2 bestimmten Eingriffen hat der Arzt den Versicherten vor Inanspruchnahme der Leistung darüber zu informieren, dass bei Fehlen eines Nachweises über eine eingeholte Zweitmeinung die Kosten für die Durchführung des Eingriffs von dem Versicherten zu tragen sind. Die Aufklärung muss mündlich erfolgen; ergänzend hat der Arzt dem Versicherten Informationen zu dem jeweiligen Eingriff und zu Behandlungsalternativen in Textform auszuhändigen. Das Nähere zu den auszuhändigenden Informationen bestimmt der Gemeinsame Bundesausschuss in seinen Richtlinien nach § 92 Absatz 1 Satz 2 Nummer 13. Der Arzt hat dafür Sorge zu tragen, dass die Aufklärung in der Regel mindestens zehn Arbeitstage, bei vom Gemeinsamen Bundesausschuss nach Absatz 3 Satz 2 bestimmten Eingriffen in der Regel mindestens 15 Arbeitstage vor dem geplanten Eingriff erfolgt. In jedem Fall hat die Aufklärung so rechtzeitig zu erfolgen, dass der Versicherte seine Entscheidung über die Einholung einer Zweitmeinung wohlüberlegt treffen und bei vom Gemeinsamen Bundesausschuss nach Absatz 3 Satz 2 bestimmten Eingriffen eine Zweitmeinung einholen kann. Der Arzt hat den Versicherten auf sein Recht auf Überlassung von Abschriften der Befundunterlagen aus der Behandlungsakte nach § 630g Absatz 1 Satz 3 des Bürgerlichen Gesetzbuchs, die für die Einholung der Zweitmeinung erforderlich sind, hinzuweisen. Die Kosten, die dem Arzt durch die Zusammenstellung und Überlassung von Befundunterlagen für die Zweitmeinung entstehen, trägt die Krankenkasse.</w:t>
      </w:r>
    </w:p>
    <w:p>
      <w:r>
        <w:t xml:space="preserve">(7) Die Krankenkasse kann in ihrer Satzung zusätzliche Leistungen zur Einholung einer unabhängigen ärztlichen Zweitmeinung vorsehen. Sofern diese zusätzlichen Leistungen die vom Gemeinsamen Bundesausschuss nach Absatz 2 Satz 1 bestimmten Eingriffe betreffen, müssen sie die Anforderungen erfüllen, die der Gemeinsame Bundesausschuss nach Absatz 2 Satz 2 festgelegt hat. Dies gilt auch, wenn die Krankenkasse ein Zweitmeinungsverfahren im Rahmen von Verträgen der besonderen Versorgung nach § 140a anbietet.</w:t>
      </w:r>
    </w:p>
    <w:p>
      <w:r>
        <w:rPr>
          <w:color w:val="555555"/>
          <w:sz w:val="17"/>
        </w:rPr>
        <w:t xml:space="preserve">Zitiervorschlag: § 27b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Dieses Dokument: https://recht.nulegal.eu/gesetze/SGB%205/27b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