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279 SGB 5 — Verwaltungsrat und Vorstand</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01.01.2024 (konsolidierte Textfassung, kein amtliches Inkrafttretensdatum)</w:t>
      </w:r>
    </w:p>
    <w:p>
      <w:r>
        <w:t xml:space="preserve">(1) Organe des Medizinischen Dienstes sind der Verwaltungsrat und der Vorstand.</w:t>
      </w:r>
    </w:p>
    <w:p>
      <w:r>
        <w:t xml:space="preserve">(2) Der Verwaltungsrat hat</w:t>
      </w:r>
    </w:p>
    <w:p>
      <w:pPr>
        <w:ind w:left="420"/>
      </w:pPr>
      <w:r>
        <w:t xml:space="preserve">1. die Satzung zu beschließen,</w:t>
      </w:r>
    </w:p>
    <w:p>
      <w:pPr>
        <w:ind w:left="420"/>
      </w:pPr>
      <w:r>
        <w:t xml:space="preserve">2. den Haushaltsplan festzustellen,</w:t>
      </w:r>
    </w:p>
    <w:p>
      <w:pPr>
        <w:ind w:left="420"/>
      </w:pPr>
      <w:r>
        <w:t xml:space="preserve">3. die jährliche Betriebs- und Rechnungsführung zu prüfen,</w:t>
      </w:r>
    </w:p>
    <w:p>
      <w:pPr>
        <w:ind w:left="420"/>
      </w:pPr>
      <w:r>
        <w:t xml:space="preserve">4. die Richtlinien für die Erfüllung der Aufgaben des Medizinischen Dienstes unter Beachtung der Richtlinien und Empfehlungen des Medizinischen Dienstes Bund nach § 283 Absatz 2 aufzustellen,</w:t>
      </w:r>
    </w:p>
    <w:p>
      <w:pPr>
        <w:ind w:left="420"/>
      </w:pPr>
      <w:r>
        <w:t xml:space="preserve">5. Nebenstellen zu errichten und aufzulösen und</w:t>
      </w:r>
    </w:p>
    <w:p>
      <w:pPr>
        <w:ind w:left="420"/>
      </w:pPr>
      <w:r>
        <w:t xml:space="preserve">6. den Vorstand zu wählen und zu entlasten.</w:t>
      </w:r>
    </w:p>
    <w:p>
      <w:r>
        <w:t xml:space="preserve">§ 210 Absatz 1 gilt entsprechend.</w:t>
      </w:r>
    </w:p>
    <w:p>
      <w:r>
        <w:t xml:space="preserve">(3) Der Verwaltungsrat besteht aus 23 Vertretern. Beschlüsse des Verwaltungsrates werden mit einfacher Mehrheit der stimmberechtigten Mitglieder gefasst. Beschlüsse über Haushaltsangelegenheiten und über die Aufstellung und Änderung der Satzung bedürfen einer Mehrheit von zwei Dritteln der stimmberechtigten Mitglieder.</w:t>
      </w:r>
    </w:p>
    <w:p>
      <w:r>
        <w:t xml:space="preserve">(4) 16 Vertreter werden von den Verwaltungsräten oder Vertreterversammlungen der Landesverbände der Orts-, Betriebs- und Innungskrankenkassen, der landwirtschaftlichen Krankenkasse, der Ersatzkassen und der BAHN-BKK gewählt. Die Krankenkassen haben sich über die Zahl der Vertreter, die auf die einzelne Kassenart entfällt, zu einigen. Kommt eine Einigung nicht zustande, entscheidet die für die Sozialversicherung zuständige oberste Verwaltungsbehörde des Landes. Als Vertreter nach Satz 1 sind je zur Hälfte Frauen und Männer zu wählen. Jeder Wahlberechtigte nach Satz 1 wählt auf der Grundlage der von der oder dem Vorsitzenden des Verwaltungsrates erstellten Bewerberliste eine Frau und einen Mann. Die acht Bewerberinnen und acht Bewerber mit den meisten Stimmen sind gewählt. Eine Wahl unter Verstoß gegen Satz 4 ist nichtig. Ist nach dem dritten Wahlgang die Vorgabe nach Satz 4 nicht erfüllt, gelten nur so viele Personen des Geschlechts, das nach dem Ergebnis der Wahl mehrheitlich vertreten ist, als gewählt, wie Personen des anderen Geschlechts gewählt wurden; die Anzahl der Vertreter nach Absatz 4 reduziert sich entsprechend. Das Nähere zur Durchführung der Wahl regelt die Satzung. Die Amtszeit der Vertreter nach Satz 1 darf zwei Amtsperioden nicht überschreiten. Personen, die am 1. Januar 2020 bereits Mitglieder im Verwaltungsrat eines Medizinischen Dienstes der Krankenversicherung sind, können einmalig wiedergewählt werden.</w:t>
      </w:r>
    </w:p>
    <w:p>
      <w:r>
        <w:t xml:space="preserve">(5) Sieben Vertreter werden von der für die Sozialversicherung zuständigen obersten Verwaltungsbehörde des Landes benannt, davon</w:t>
      </w:r>
    </w:p>
    <w:p>
      <w:pPr>
        <w:ind w:left="420"/>
      </w:pPr>
      <w:r>
        <w:t xml:space="preserve">1. fünf Vertreter auf Vorschlag der Verbände und Organisationen für die Wahrnehmung der Interessen und der Selbsthilfe der Patienten, der pflegebedürftigen und behinderten Menschen und der pflegenden Angehörigen sowie der im Bereich der Kranken- und Pflegeversorgung tätigen Verbraucherschutzorganisationen jeweils auf Landesebene sowie</w:t>
      </w:r>
    </w:p>
    <w:p>
      <w:pPr>
        <w:ind w:left="420"/>
      </w:pPr>
      <w:r>
        <w:t xml:space="preserve">2. zwei Vertreter jeweils zur Hälfte auf Vorschlag der Landespflegekammern oder der maßgeblichen Verbände der Pflegeberufe auf Landesebene und der Landesärztekammern.</w:t>
      </w:r>
    </w:p>
    <w:p>
      <w:r>
        <w:t xml:space="preserve">Die Vertreter nach Satz 1 Nummer 2 haben kein Stimmrecht. Die für die Sozialversicherung zuständige oberste Verwaltungsbehörde des Landes legt die Einzelheiten für das Verfahren der Übermittlung und der Bearbeitung der Vorschläge nach Satz 1 fest. Sie bestimmt die Voraussetzungen der Anerkennung der Organisationen und Verbände nach Satz 1 Nummer 1 sowie der maßgeblichen Verbände der Pflegeberufe auf Landesebene, insbesondere die Erfordernisse an die fachlichen Qualifikationen, die Unabhängigkeit, die Organisationsform und die Offenlegung der Finanzierung. Als Vertreter nach Satz 1 Nummer 1 sind mindestens zwei Frauen und zwei Männer, als Vertreter nach Satz 1 Nummer 2 sind jeweils eine Frau und ein Mann zu benennen. Ist eine Satz 5 entsprechende Benennung nicht möglich, gelten nur so viele Personen des Geschlechts, das mehrheitlich vertreten ist, als benannt, dass dem Verhältnis nach Satz 5 entsprochen wird; die Anzahl der Vertreter nach Satz 1 Nummer 1 und 2 reduziert sich entsprechend. Die Vertreter nach Satz 1 Nummer 1 dürfen nicht zu mehr als 10 Prozent von Dritten finanziert werden, die Leistungen für die gesetzliche Krankenversicherung oder für die soziale Pflegeversicherung erbringen. Die Bekanntgabe der Benennung erfolgt gegenüber der oder dem amtierenden Vorsitzenden des Verwaltungsrates, die oder der diese den Benannten zur Kenntnis gibt.</w:t>
      </w:r>
    </w:p>
    <w:p>
      <w:r>
        <w:t xml:space="preserve">(6) Beschäftigte des Medizinischen Dienstes, der Krankenkassen oder ihrer Verbände sind nicht wähl- oder benennbar. Personen, die bereits mehr als ein Ehrenamt in einem Selbstverwaltungsorgan eines Versicherungsträgers, eines Verbandes der Versicherungsträger oder eines anderen Medizinischen Dienstes innehaben, können nicht gewählt oder benannt werden. § 51 Absatz 1 Satz 1 Nummer 2 bis 4 und Absatz 6 Nummer 2 bis 6 des Vierten Buches gilt entsprechend. Rechtsbehelfe gegen die Benennung oder die Wahl der Mitglieder des Verwaltungsrates haben keine aufschiebende Wirkung. § 57 Absatz 5 bis 7 des Vierten Buches und § 131 Absatz 4 des Sozialgerichtsgesetzes gelten entsprechend.</w:t>
      </w:r>
    </w:p>
    <w:p>
      <w:r>
        <w:t xml:space="preserve">(7) Der Vorstand wird aus der oder dem Vorstandsvorsitzenden und der Stellvertreterin oder dem Stellvertreter gebildet. Der Vorstand führt die Geschäfte des Medizinischen Dienstes nach den Richtlinien des Verwaltungsrates. Der Vorstand stellt den Haushaltsplan auf und vertritt den Medizinischen Dienst gerichtlich und außergerichtlich. Die Höhe der jährlichen Vergütungen der oder des Vorstandsvorsitzenden und der Stellvertreterin oder des Stellvertreters einschließlich aller Nebenleistungen sowie sämtliche Versorgungsregelungen sind betragsmäßig in einer Übersicht jährlich am 1. März im Bundesanzeiger sowie gleichzeitig auf der Internetseite des betreffenden Medizinischen Dienstes zu veröffentlichen. Die Art und die Höhe finanzieller Zuwendungen, die der oder dem Vorstandsvorsitzenden und der Stellvertreterin oder dem Stellvertreter im Zusammenhang mit ihrer Vorstandstätigkeit von Dritten gewährt werden, sind der oder dem Vorsitzenden und der oder dem stellvertretenden Vorsitzenden des Verwaltungsrates mitzuteilen. § 35a Absatz 3 und 6a des Vierten Buches gilt entsprechend.</w:t>
      </w:r>
    </w:p>
    <w:p>
      <w:r>
        <w:t xml:space="preserve">(8) Folgende Vorschriften des Vierten Buches gelten entsprechend: die §§ 37, 38, 40 Absatz 1 Satz 1 und 2, Absatz 2 und 3, die §§ 41, 42 Absatz 1 bis 3, § 43 Absatz 2, die §§ 58, 59 Absatz 1 bis 3, 5 und 6, die §§ 60, 62 Absatz 1 Satz 1 erster Halbsatz, Absatz 2, 3 Satz 1 und 4 und Absatz 4 bis 6, § 63 Absatz 1 und 2, 3 Satz 2 und 3, Absatz 3a bis 5, § 64 Absatz 1 und 2 Satz 2, Absatz 3 Satz 2 und 3 und die §§ 64a und 66.</w:t>
      </w:r>
    </w:p>
    <w:p>
      <w:r>
        <w:t xml:space="preserve">(9) (weggefallen)</w:t>
      </w:r>
    </w:p>
    <w:p>
      <w:r>
        <w:rPr>
          <w:color w:val="555555"/>
          <w:sz w:val="17"/>
        </w:rPr>
        <w:t xml:space="preserve">Zitiervorschlag: § 279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