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272a SGB 5 — Sonderregelung für den Gesundheitsfonds im Jahr 2022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Überschreitet die Höhe der Liquiditätsreserve nach Ablauf des Geschäftsjahres 2021 die nach § 271 Absatz 2 Satz 3 festgesetzte Mindesthöhe auf Grundlage der Prognose des Schätzerkreises nach § 220 Absatz 2 im Jahr 2021, werden die über die Mindesthöhe hinausgehenden Mittel abzüglich der Entnahmen aus der Liquiditätsreserve nach § 271 Absatz 4 Satz 2 und Absatz 5 im Jahr 2022 den Einnahmen des Gesundheitsfonds im Jahr 2022 zugeführt.</w:t>
      </w:r>
    </w:p>
    <w:p>
      <w:r>
        <w:rPr>
          <w:color w:val="555555"/>
          <w:sz w:val="17"/>
        </w:rPr>
        <w:t xml:space="preserve">Zitiervorschlag: § 272a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https://recht.nulegal.eu/gesetze/SGB%205/272a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