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270 SGB 5 — Zuweisungen aus dem Gesundheitsfonds für sonstige Ausgaben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15.11.2022 (konsolidierte Textfassung, kein amtliches Inkrafttretensdatum)</w:t>
      </w:r>
    </w:p>
    <w:p>
      <w:r>
        <w:t xml:space="preserve">(1) Die Krankenkassen erhalten aus dem Gesundheitsfonds Zuweisungen zur Deckung</w:t>
      </w:r>
    </w:p>
    <w:p>
      <w:pPr>
        <w:ind w:left="420"/>
      </w:pPr>
      <w:r>
        <w:t xml:space="preserve">1. ihrer standardisierten Aufwendungen nach § 266 Abs. 4 Satz 2 Nr. 2 mit Ausnahme der Leistungen nach § 11 Absatz 6 und § 53,</w:t>
      </w:r>
    </w:p>
    <w:p>
      <w:pPr>
        <w:ind w:left="420"/>
      </w:pPr>
      <w:r>
        <w:t xml:space="preserve">2. ihrer standardisierten Aufwendungen, die auf Grund der Entwicklung und Durchführung von Programmen nach § 137g entstehen und die in der Rechtsverordnung nach § 266 Absatz 8 Satz 1 näher zu bestimmen sind, sowie</w:t>
      </w:r>
    </w:p>
    <w:p>
      <w:pPr>
        <w:ind w:left="420"/>
      </w:pPr>
      <w:r>
        <w:t xml:space="preserve">3. ihrer standardisierten Verwaltungsausgaben.</w:t>
      </w:r>
    </w:p>
    <w:p>
      <w:r>
        <w:t xml:space="preserve">§ 266 Absatz 6 Satz 1 und 3, Absatz 7 und 9 gilt entsprechend.</w:t>
      </w:r>
    </w:p>
    <w:p>
      <w:r>
        <w:t xml:space="preserve">(2) Für die Ermittlung der Höhe der Zuweisungen nach den Absätzen 1 und 4 erheben die Krankenkassen für jedes Jahr</w:t>
      </w:r>
    </w:p>
    <w:p>
      <w:pPr>
        <w:ind w:left="420"/>
      </w:pPr>
      <w:r>
        <w:t xml:space="preserve">1. je Versicherten die Versichertentage mit Einschreibung in ein nach § 137g zugelassenes strukturiertes Behandlungsprogramm und Angaben über die Teilnahme an den in Absatz 4 Satz 1 genannten Leistungen,</w:t>
      </w:r>
    </w:p>
    <w:p>
      <w:pPr>
        <w:ind w:left="420"/>
      </w:pPr>
      <w:r>
        <w:t xml:space="preserve">2. nicht versichertenbezogen die Aufwendungen nach § 266 Absatz 4 Satz 2 Nummer 2 und die Verwaltungsausgaben; § 266 Absatz 4 Satz 2 Nummer 1 gilt entsprechend.</w:t>
      </w:r>
    </w:p>
    <w:p>
      <w:r>
        <w:t xml:space="preserve">Die Krankenkassen übermitteln die Daten nach Satz 1 Nummer 1 bis zum 15. August des Folgejahres in pseudonymisierter und maschinenlesbarer Form über den Spitzenverband Bund der Krankenkassen an das Bundesamt für Soziale Sicherung; § 267 Absatz 3 Satz 2 bis 4 und Absatz 4 Satz 2 gilt entsprechend. Die Krankenkassen übermitteln die Daten nach Satz 1 Nummer 2 bis zum 30. Juni des Folgejahres in maschinenlesbarer Form über den Spitzenverband Bund der Krankenkassen an das Bundesamt für Soziale Sicherung.</w:t>
      </w:r>
    </w:p>
    <w:p>
      <w:r>
        <w:t xml:space="preserve">(3) Das Bundesamt für Soziale Sicherung mindert für eine Krankenkasse, die laut erstmaliger Mitteilung des Spitzenverbandes Bund der Krankenkassen nach § 342 Absatz 5 Satz 5 ihrer Verpflichtung nach § 342 Absatz 1 nicht nachgekommen ist, die nach § 18 Absatz 3 der Risikostruktur-Ausgleichsverordnung im Jahresausgleich für das Ausgleichsjahr 2020 berechnete Höhe der Zuweisungen nach Absatz 1 Satz 1 Nummer 3 um 2,5 Prozent. Die nach § 18 Absatz 3 der Risikostruktur-Ausgleichsverordnung im Jahresausgleich berechnete Höhe der Zuweisungen nach Absatz 1 Satz 1 Nummer 3 ist ab dem Ausgleichsjahr 2021 für eine Krankenkasse um 7,5 Prozent zu mindern, wenn in dem auf das jeweilige Ausgleichsjahr folgenden Jahr eine weitere Mitteilung nach § 342 Absatz 5 Satz 5 und 6 zu derselben Krankenkasse erfolgt. Das Bundesamt für Soziale Sicherung teilt den Sanktionsbetrag der Krankenkasse in einem Bescheid mit. Klagen gegen die Höhe der Sanktion haben keine aufschiebende Wirkung.</w:t>
      </w:r>
    </w:p>
    <w:p>
      <w:r>
        <w:t xml:space="preserve">(4) Zur Förderung der Durchführung von Vorsorge- und Früherkennungsmaßnahmen erhalten die Krankenkassen aus dem Gesundheitsfonds jährlich eine Pauschale für jeden Versicherten, der an einer vom Gemeinsamen Bundesausschuss in Richtlinien nach § 92 Absatz 1 Satz 2 Nummer 2, 3, 4 und 15 vorgesehenen Mutterschaftsvorsorge, Gesundheits- oder Früherkennungsuntersuchung nach § 25 Absatz 1, 2 und den §§ 25a und 26, Individualprophylaxe nach § 22 Absatz 1, 3 und § 22a Absatz 1 oder Schutzimpfung nach § 20i Absatz 1 teilgenommen hat. Das Bundesamt für Soziale Sicherung ermittelt die Höhe der Zuweisungen und weist die entsprechenden Mittel den Krankenkassen zu. § 266 Absatz 7 Satz 3, 6 und 7 und Absatz 9 gilt entsprechend. Das Nähere über die Kriterien der Vergabe und das Verfahren bestimmt das Bundesministerium für Gesundheit in der Rechtsverordnung nach § 266 Absatz 8 Satz 1.</w:t>
      </w:r>
    </w:p>
    <w:p>
      <w:r>
        <w:rPr>
          <w:color w:val="555555"/>
          <w:sz w:val="17"/>
        </w:rPr>
        <w:t xml:space="preserve">Zitiervorschlag: § 270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