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SGB 5 — Krankenbehandlung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01.06.2026 (konsolidierte Textfassung, kein amtliches Inkrafttretensdatum)</w:t>
      </w:r>
    </w:p>
    <w:p>
      <w:r>
        <w:t xml:space="preserve">(1) Versicherte haben Anspruch auf Krankenbehandlung, wenn sie notwendig ist, um eine Krankheit zu erkennen, zu heilen, ihre Verschlimmerung zu verhüten oder Krankheitsbeschwerden zu lindern. Die Krankenbehandlung umfaßt</w:t>
      </w:r>
    </w:p>
    <w:p>
      <w:pPr>
        <w:ind w:left="420"/>
      </w:pPr>
      <w:r>
        <w:t xml:space="preserve">1. Ärztliche Behandlung einschließlich Psychotherapie als ärztliche und psychotherapeutische Behandlung,</w:t>
      </w:r>
    </w:p>
    <w:p>
      <w:pPr>
        <w:ind w:left="420"/>
      </w:pPr>
      <w:r>
        <w:t xml:space="preserve">2. zahnärztliche Behandlung,</w:t>
      </w:r>
    </w:p>
    <w:p>
      <w:pPr>
        <w:ind w:left="420"/>
      </w:pPr>
      <w:r>
        <w:t xml:space="preserve">2a. Versorgung mit Zahnersatz einschließlich Zahnkronen und Suprakonstruktionen,</w:t>
      </w:r>
    </w:p>
    <w:p>
      <w:pPr>
        <w:ind w:left="420"/>
      </w:pPr>
      <w:r>
        <w:t xml:space="preserve">3. Versorgung mit Arznei-, Verband-, Heil- und Hilfsmitteln sowie mit digitalen Gesundheitsanwendungen,</w:t>
      </w:r>
    </w:p>
    <w:p>
      <w:pPr>
        <w:ind w:left="420"/>
      </w:pPr>
      <w:r>
        <w:t xml:space="preserve">4. häusliche Krankenpflege, außerklinische Intensivpflege und Haushaltshilfe,</w:t>
      </w:r>
    </w:p>
    <w:p>
      <w:pPr>
        <w:ind w:left="420"/>
      </w:pPr>
      <w:r>
        <w:t xml:space="preserve">5. Krankenhausbehandlung,</w:t>
      </w:r>
    </w:p>
    <w:p>
      <w:pPr>
        <w:ind w:left="420"/>
      </w:pPr>
      <w:r>
        <w:t xml:space="preserve">6. Leistungen zur medizinischen Rehabilitation und ergänzende Leistungen.</w:t>
      </w:r>
    </w:p>
    <w:p>
      <w:r>
        <w:t xml:space="preserve">Zur Krankenbehandlung gehört auch die palliative Versorgung der Versicherten. Bei der Krankenbehandlung ist den besonderen Bedürfnissen psychisch Kranker Rechnung zu tragen, insbesondere bei der Versorgung mit Heilmitteln und bei der medizinischen Rehabilitation. Zur Krankenbehandlung gehören auch Leistungen zur Herstellung der Zeugungs- oder Empfängnisfähigkeit, wenn diese Fähigkeit nicht vorhanden war oder durch Krankheit oder wegen einer durch Krankheit erforderlichen Sterilisation verlorengegangen war. Zur Krankenbehandlung gehören auch Leistungen zur vertraulichen Spurensicherung am Körper, einschließlich der erforderlichen Dokumentation sowie Laboruntersuchungen und einer ordnungsgemäßen Aufbewahrung der sichergestellten Befunde, bei Hinweisen auf drittverursachte Gesundheitsschäden, die Folge einer Misshandlung, eines sexuellen Missbrauchs, eines sexuellen Übergriffs, einer sexuellen Nötigung oder einer Vergewaltigung sein können.</w:t>
      </w:r>
    </w:p>
    <w:p>
      <w:r>
        <w:t xml:space="preserve">(1a) Spender von Organen oder Geweben oder von Blut zur Separation von Blutstammzellen oder anderen Blutbestandteilen (Spender) haben bei einer nach den §§ 8 und 8b des Transplantationsgesetzes erfolgenden Spende von Organen oder Geweben oder im Zusammenhang mit einer im Sinne von § 9 des Transfusionsgesetzes erfolgenden Spende zum Zwecke der Übertragung auf Versicherte (Entnahme bei lebenden Spendern) Anspruch auf Leistungen der Krankenbehandlung. Dazu gehören die ambulante und stationäre Behandlung der Spender, die medizinisch erforderliche Vor- und Nachsorge, Leistungen zur medizinischen Rehabilitation sowie die Erstattung des Ausfalls von Arbeitseinkünften als Krankengeld nach § 44a und erforderlicher Fahrkosten; dies gilt auch für Leistungen, die über die Leistungen nach dem Dritten Kapitel dieses Gesetzes, auf die ein Anspruch besteht, hinausgehen, soweit sie vom Versicherungsschutz des Spenders umfasst sind. Zuzahlungen sind von den Spendern nicht zu leisten. Zuständig für Leistungen nach den Sätzen 1 und 2 ist die Krankenkasse der Empfänger von Organen, Geweben oder Blutstammzellen sowie anderen Blutbestandteilen (Empfänger). Im Zusammenhang mit der Spende von Knochenmark nach den §§ 8 und 8b des Transplantationsgesetzes, von Blutstammzellen oder anderen Blutbestandteilen nach § 9 des Transfusionsgesetzes können die Erstattung der erforderlichen Fahrkosten des Spenders und die Erstattung der Entgeltfortzahlung an den Arbeitgeber nach § 3a Absatz 2 Satz 1 des Entgeltfortzahlungsgesetzes einschließlich der Befugnis zum Erlass der hierzu erforderlichen Verwaltungsakte auf Dritte übertragen werden. Das Nähere kann der Spitzenverband Bund der Krankenkassen mit den für die nationale und internationale Suche nach nichtverwandten Spendern von Blutstammzellen aus Knochenmark oder peripherem Blut maßgeblichen Organisationen vereinbaren. Für die Behandlung von Folgeerkrankungen der Spender ist die Krankenkasse der Spender zuständig, sofern der Leistungsanspruch nicht nach § 11 Absatz 5 ausgeschlossen ist. Ansprüche nach diesem Absatz haben auch nicht gesetzlich krankenversicherte Personen. Die Krankenkasse der Spender ist befugt, die für die Leistungserbringung nach den Sätzen 1 und 2 erforderlichen personenbezogenen Daten an die Krankenkasse oder das private Krankenversicherungsunternehmen der Empfänger zu übermitteln; dies gilt auch für personenbezogene Daten von nach dem Künstlersozialversicherungsgesetz Krankenversicherungspflichtigen. Im Rahmen von Überkreuzlebendnierenspenden und nicht gerichteten anonymen Nierenspenden sind die nach § 12 des Transplantationsgesetzes zur Vermittlung der Organe bestimmten Stellen befugt, die für die Leistungserbringung erforderlichen Daten an die Krankenkassen oder die privaten Krankenversicherungsunternehmen des Spenders und des Empfängers zu übermitteln sowie dem Spender die nach Satz 4 zuständige Krankenkasse oder das private Krankenversicherungsunternehmen des Empfängers zu benennen; dies gilt auch für Daten von nach dem Künstlersozialversicherungsgesetz Krankenversicherungspflichtigen. Die nach den Sätzen 9 und 10 übermittelten Daten dürfen nur für die Erbringung von Leistungen nach den Sätzen 1 und 2 verarbeitet werden. Die Datenverarbeitung nach den Sätzen 9 bis 11 darf nur mit schriftlicher Einwilligung der Spender und, in dem in Satz 10 genannten Fall, der Empfänger erfolgen, der jeweils eine umfassende Information vorausgegangen ist.</w:t>
      </w:r>
    </w:p>
    <w:p>
      <w:r>
        <w:t xml:space="preserve">(2) Versicherte, die sich nur vorübergehend im Inland aufhalten, Ausländer, denen eine Aufenthaltserlaubnis nach § 25 Abs. 4 bis 5 des Aufenthaltsgesetzes erteilt wurde, sowie</w:t>
      </w:r>
    </w:p>
    <w:p>
      <w:pPr>
        <w:ind w:left="420"/>
      </w:pPr>
      <w:r>
        <w:t xml:space="preserve">1. asylsuchende Ausländer, deren Asylverfahren noch nicht unanfechtbar abgeschlossen ist,</w:t>
      </w:r>
    </w:p>
    <w:p>
      <w:pPr>
        <w:ind w:left="420"/>
      </w:pPr>
      <w:r>
        <w:t xml:space="preserve">2. Vertriebene im Sinne des § 1 Abs. 2 Nr. 2 und 3 des Bundesvertriebenengesetzes sowie Spätaussiedler im Sinne des § 4 des Bundesvertriebenengesetzes, ihre Ehegatten, Lebenspartner und Abkömmlinge im Sinne des § 7 Abs. 2 des Bundesvertriebenengesetzes haben Anspruch auf Versorgung mit Zahnersatz, wenn sie unmittelbar vor Inanspruchnahme mindestens ein Jahr lang Mitglied einer Krankenkasse (§ 4) oder nach § 10 versichert waren oder wenn die Behandlung aus medizinischen Gründen ausnahmsweise unaufschiebbar ist.</w:t>
      </w:r>
    </w:p>
    <w:p>
      <w:r>
        <w:rPr>
          <w:color w:val="555555"/>
          <w:sz w:val="17"/>
        </w:rPr>
        <w:t xml:space="preserve">Zitiervorschlag: § 27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