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262 SGB 5 — Gesamtrücklage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Satzungen der Landesverbände können bestimmen, daß die von den Verbandsmitgliedern zu bildenden Rücklagen bis zu einem Drittel des Rücklagesolls von dem Landesverband als Sondervermögen (Gesamtrücklage) verwaltet werden. Die Gesamtrücklage ist vorrangig vor dem von der Krankenkasse verwalteten Teil der Rücklage aufzufüllen.</w:t>
      </w:r>
    </w:p>
    <w:p>
      <w:r>
        <w:t xml:space="preserve">(2) Die im Laufe eines Jahres entstehenden Kapitalerträge und die aus den Veräußerungen erwachsenden Gewinne der Gesamtrücklage werden gegen die aus Veräußerungen entstehenden Verluste ausgeglichen. Der Unterschied wird auf die beteiligten Krankenkassen nach der Höhe ihres Rücklageguthabens beim Landesverband im Jahresdurchschnitt umgelegt.</w:t>
      </w:r>
    </w:p>
    <w:p>
      <w:r>
        <w:t xml:space="preserve">(3) Ergibt sich nach Absatz 2 ein Überschuß, wird er den Krankenkassen ausgezahlt, deren Rücklageguthaben beim Landesverband den nach Absatz 1 bestimmten Anteil erreicht hat. Ist dieses Rücklageguthaben noch nicht erreicht, wird der Überschuß bis zur Höhe des fehlenden Betrages nicht ausgezahlt, sondern gutgeschrieben. Ergibt sich nach Absatz 2 ein Fehlbetrag, wird er dem Rücklageguthaben der Krankenkassen zur Last geschrieben.</w:t>
      </w:r>
    </w:p>
    <w:p>
      <w:r>
        <w:t xml:space="preserve">(4) Die Krankenkasse kann über ihr Rücklageguthaben beim Landesverband erst verfügen, wenn die von ihr selbst verwalteten Rücklagemittel verbraucht sind. Hat die Krankenkasse ihr Rücklageguthaben verbraucht, kann sie von dem Landesverband ein Darlehen aus der Gesamtrücklage erhalten. Die Satzung des Landesverbands trifft Regelungen über die Voraussetzungen der Darlehensgewährung, die Rückzahlung und die Verzinsung.</w:t>
      </w:r>
    </w:p>
    <w:p>
      <w:r>
        <w:t xml:space="preserve">(5) Die Gesamtrücklage ist so anzulegen, daß sie für die in § 261 Abs. 1 und 4 genannten Zwecke verfügbar ist.</w:t>
      </w:r>
    </w:p>
    <w:p>
      <w:r>
        <w:rPr>
          <w:color w:val="555555"/>
          <w:sz w:val="17"/>
        </w:rPr>
        <w:t xml:space="preserve">Zitiervorschlag: § 262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