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24a SGB 5 — Empfängnisverhütung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Versicherte haben Anspruch auf ärztliche Beratung über Fragen der Empfängnisregelung. Zur ärztlichen Beratung gehören auch die erforderliche Untersuchung und die Verordnung von empfängnisregelnden Mitteln.</w:t>
      </w:r>
    </w:p>
    <w:p>
      <w:r>
        <w:t xml:space="preserve">(2) Versicherte bis zum vollendeten 22. Lebensjahr haben Anspruch auf Versorgung mit verschreibungspflichtigen empfängnisverhütenden Mitteln; § 31 Abs. 2 bis 4 gilt entsprechend. Satz 1 gilt entsprechend für nicht verschreibungspflichtige Notfallkontrazeptiva, soweit sie ärztlich verordnet werden; § 129 Absatz 5a gilt entsprechend. Der Anspruch nach Satz 2 besteht für Versicherte ohne Altersbeschränkung, wenn Hinweise auf einen sexuellen Missbrauch oder eine Vergewaltigung vorliegen.</w:t>
      </w:r>
    </w:p>
    <w:p>
      <w:r>
        <w:rPr>
          <w:color w:val="555555"/>
          <w:sz w:val="17"/>
        </w:rPr>
        <w:t xml:space="preserve">Zitiervorschlag: § 24a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