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SGB 5 — Medizinische Vorsorge für Mütter und Väter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Versicherte haben unter den in § 23 Abs. 1 genannten Voraussetzungen Anspruch auf aus medizinischen Gründen erforderliche Vorsorgeleistungen in einer Einrichtung des Müttergenesungswerks oder einer gleichartigen Einrichtung; die Leistung kann in Form einer Mutter-Kind-Maßnahme erbracht werden. Satz 1 gilt auch für Vater-Kind-Maßnahmen in dafür geeigneten Einrichtungen. Vorsorgeleistungen nach den Sätzen 1 und 2 werden in Einrichtungen erbracht, mit denen ein Versorgungsvertrag nach § 111a besteht. § 23 Abs. 4 Satz 1 gilt nicht; § 23 Abs. 4 Satz 2 gilt entsprechend.</w:t>
      </w:r>
    </w:p>
    <w:p>
      <w:r>
        <w:t xml:space="preserve">(2) § 23 Absatz 5 und 5a gilt entsprechend.</w:t>
      </w:r>
    </w:p>
    <w:p>
      <w:r>
        <w:t xml:space="preserve">(3) Versicherte, die das achtzehnte Lebensjahr vollendet haben und eine Leistung nach Absatz 1 in Anspruch nehmen, zahlen je Kalendertag den sich nach § 61 Satz 2 ergebenden Betrag an die Einrichtung. Die Zahlung ist an die Krankenkasse weiterzuleiten.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24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