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220 SGB 5 — Grundsatz</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Die Mittel der Krankenversicherung werden durch Beiträge und sonstige Einnahmen aufgebracht; als Beiträge gelten auch Zusatzbeiträge nach § 242. Darlehensaufnahmen sind nicht zulässig. Abweichend von Satz 2 ist die Aufnahme von Darlehen bei Kreditinstituten zur Finanzierung des Erwerbs von Grundstücken und grundstücksgleichen Rechten für Eigeneinrichtungen nach § 140 sowie zur Finanzierung der Errichtung, der Erweiterung oder des Umbaus von Gebäuden für Eigeneinrichtungen nach § 140 zulässig. Eine Darlehensaufnahme nach Satz 3 bedarf der Genehmigung der Aufsichtsbehörde.</w:t>
      </w:r>
    </w:p>
    <w:p>
      <w:r>
        <w:t xml:space="preserve">(2) Der beim Bundesamt für Soziale Sicherung gebildete Schätzerkreis schätzt jedes Jahr bis zum 15. Oktober für das jeweilige Jahr und für das Folgejahr</w:t>
      </w:r>
    </w:p>
    <w:p>
      <w:pPr>
        <w:ind w:left="420"/>
      </w:pPr>
      <w:r>
        <w:t xml:space="preserve">1. die Höhe der voraussichtlichen beitragspflichtigen Einnahmen der Mitglieder der Krankenkassen,</w:t>
      </w:r>
    </w:p>
    <w:p>
      <w:pPr>
        <w:ind w:left="420"/>
      </w:pPr>
      <w:r>
        <w:t xml:space="preserve">2. die Höhe der voraussichtlichen jährlichen Einnahmen des Gesundheitsfonds,</w:t>
      </w:r>
    </w:p>
    <w:p>
      <w:pPr>
        <w:ind w:left="420"/>
      </w:pPr>
      <w:r>
        <w:t xml:space="preserve">3. die Höhe der voraussichtlichen jährlichen Ausgaben der Krankenkassen sowie</w:t>
      </w:r>
    </w:p>
    <w:p>
      <w:pPr>
        <w:ind w:left="420"/>
      </w:pPr>
      <w:r>
        <w:t xml:space="preserve">4. die voraussichtliche Zahl der Versicherten und der Mitglieder der Krankenkassen.</w:t>
      </w:r>
    </w:p>
    <w:p>
      <w:r>
        <w:t xml:space="preserve">Die Schätzung für das Folgejahr dient als Grundlage für die Festlegung des durchschnittlichen Zusatzbeitragssatzes nach § 242a, für die Zuweisungen aus dem Gesundheitsfonds nach den §§ 266 und 270 sowie für die Durchführung des Einkommensausgleichs nach § 270a. Bei der Schätzung der Höhe der voraussichtlichen jährlichen Einnahmen bleiben die Beträge nach § 271 Absatz 1a außer Betracht.</w:t>
      </w:r>
    </w:p>
    <w:p>
      <w:r>
        <w:t xml:space="preserve">(3) Für das Rechnungswesen einschließlich der Statistiken bei der Verwaltung des Gesundheitsfonds durch das Bundesamt für Soziale Sicherung gelten die §§ 76, 77 Absatz 1a Satz 1 bis 6 und § 79 Absatz 1 und 2 in Verbindung mit Absatz 3a des Vierten Buches sowie die auf Grund des § 78 des Vierten Buches erlassenen Rechtsverordnungen entsprechend. Für das Vermögen gelten die §§ 80, 83 Absatz 1 und 2 bis 4, die §§ 84 und 86 des Vierten Buches entsprechend. Die Mittel des Gesundheitsfonds können abweichend von § 83 Absatz 1 Nummer 2 Buchstabe b und c sowie Nummer 4 Buchstabe c des Vierten Buches angelegt werden bei Kreditinstituten, die die geltenden Vorschriften über das Eigenkapital und die Liquidität einhalten. Die Einhaltung der Vorschriften über das Eigenkapital und die Liquidität ist regelmäßig, mindestens jährlich, zu überprüfen. Die Bestellung des Wirtschaftsprüfers oder des vereidigten Buchprüfers zur Prüfung der Jahresrechnung des Gesundheitsfonds erfolgt durch die beim Bundesamt für Soziale Sicherung eingerichtete Prüfstelle im Einvernehmen mit dem Bundesministerium für Gesundheit und dem Bundesministerium der Finanzen. Die Entlastung des Präsidenten oder der Präsidentin des Bundesamtes für Soziale Sicherung als Verwalter des Gesundheitsfonds erfolgt durch das Bundesministerium für Gesundheit im Einvernehmen mit dem Bundesministerium der Finanzen.</w:t>
      </w:r>
    </w:p>
    <w:p>
      <w:r>
        <w:t xml:space="preserve">(4) Das Bundesministerium für Gesundheit erarbeitet Empfehlungen für eine stabile, verlässliche und solidarische Finanzierung der gesetzlichen Krankenversicherung. Hierbei soll insbesondere auch die Ausgabenseite der gesetzlichen Krankenversicherung betrachtet werden. Die Empfehlungen des Bundesministeriums für Gesundheit werden bis zum 31. Mai 2023 vorgelegt. Zudem erarbeitet das Bundesministerium für Gesundheit Empfehlungen zum Bürokratieabbau im Gesundheitswesen und Vorschläge für gesetzliche Vorgaben, die eine Offenlegung der Service- und Versorgungsqualität der Krankenkassen anhand von einheitlichen Mindestkriterien ermöglichen. Diese sollen bis zum 30. September 2023 erarbeitet werden.</w:t>
      </w:r>
    </w:p>
    <w:p>
      <w:r>
        <w:rPr>
          <w:color w:val="555555"/>
          <w:sz w:val="17"/>
        </w:rPr>
        <w:t xml:space="preserve">Zitiervorschlag: § 220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