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218 SGB 5 — Regionale Kassenverbände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Orts-, Betriebs- und Innungskrankenkassen können sich durch übereinstimmenden Beschluß ihrer Verwaltungsräte zu einem Kassenverband vereinigen, wenn sie ihren Sitz im Bezirk desselben Versicherungsamts haben.</w:t>
      </w:r>
    </w:p>
    <w:p>
      <w:r>
        <w:t xml:space="preserve">(2) Mit Genehmigung der für die Sozialversicherung zuständigen obersten Verwaltungsbehörde des Landes kann sich ein Kassenverband über die Bezirke oder Bezirksteile mehrerer Versicherungsämter erstrecken.</w:t>
      </w:r>
    </w:p>
    <w:p>
      <w:r>
        <w:rPr>
          <w:color w:val="555555"/>
          <w:sz w:val="17"/>
        </w:rPr>
        <w:t xml:space="preserve">Zitiervorschlag: § 218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https://recht.nulegal.eu/gesetze/SGB%205/218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