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217e SGB 5 — Satzung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Verwaltungsrat hat eine Satzung zu beschließen. Die Satzung bedarf der Genehmigung der zuständigen Aufsichtsbehörde. Der Spitzenverband Bund hat seinen Sitz in Berlin; die Satzung kann einen davon abweichenden Sitz bestimmen. Die Verbindungsstelle (§ 219a) hat ihren Sitz in Bonn; die Satzung kann einen davon abweichenden Sitz in Berücksichtigung der spezifischen Aufgabenstellung festlegen. Die Satzung muss Bestimmungen enthalten über</w:t>
      </w:r>
    </w:p>
    <w:p>
      <w:pPr>
        <w:ind w:left="420"/>
      </w:pPr>
      <w:r>
        <w:t xml:space="preserve">1. die Wahl des Verwaltungsrates und des Vorstandes sowie die Ergänzung des Verwaltungsrates bei vorzeitigem Ausscheiden eines Mitglieds,</w:t>
      </w:r>
    </w:p>
    <w:p>
      <w:pPr>
        <w:ind w:left="420"/>
      </w:pPr>
      <w:r>
        <w:t xml:space="preserve">2. die Entschädigung der Mitglieder des Verwaltungsrates,</w:t>
      </w:r>
    </w:p>
    <w:p>
      <w:pPr>
        <w:ind w:left="420"/>
      </w:pPr>
      <w:r>
        <w:t xml:space="preserve">3. die Aufbringung und Verwaltung der Mittel,</w:t>
      </w:r>
    </w:p>
    <w:p>
      <w:pPr>
        <w:ind w:left="420"/>
      </w:pPr>
      <w:r>
        <w:t xml:space="preserve">4. die Beurkundung der Beschlüsse des Verwaltungsrates,</w:t>
      </w:r>
    </w:p>
    <w:p>
      <w:pPr>
        <w:ind w:left="420"/>
      </w:pPr>
      <w:r>
        <w:t xml:space="preserve">5. die Herstellung der Öffentlichkeit der Sitzungen des Verwaltungsrates,</w:t>
      </w:r>
    </w:p>
    <w:p>
      <w:pPr>
        <w:ind w:left="420"/>
      </w:pPr>
      <w:r>
        <w:t xml:space="preserve">6. das Nähere über die Entsendung der Vertreter der Mitgliedskassen in die Mitgliederversammlung, über die Wahl des Vorsitzenden der Mitgliederversammlung sowie dessen Aufgaben,</w:t>
      </w:r>
    </w:p>
    <w:p>
      <w:pPr>
        <w:ind w:left="420"/>
      </w:pPr>
      <w:r>
        <w:t xml:space="preserve">7. die Rechte und Pflichten der Mitgliedskassen,</w:t>
      </w:r>
    </w:p>
    <w:p>
      <w:pPr>
        <w:ind w:left="420"/>
      </w:pPr>
      <w:r>
        <w:t xml:space="preserve">8. die jährliche Prüfung der Betriebs- und Rechnungsführung,</w:t>
      </w:r>
    </w:p>
    <w:p>
      <w:pPr>
        <w:ind w:left="420"/>
      </w:pPr>
      <w:r>
        <w:t xml:space="preserve">9. die Art der Bekanntmachung.</w:t>
      </w:r>
    </w:p>
    <w:p>
      <w:r>
        <w:t xml:space="preserve">§ 34 Abs. 2 des Vierten Buches gilt entsprechend.</w:t>
      </w:r>
    </w:p>
    <w:p>
      <w:r>
        <w:t xml:space="preserve">(2) Die vom Spitzenverband Bund der Krankenkassen abgeschlossenen Verträge und seine sonstigen Entscheidungen gelten für die Mitgliedskassen des Spitzenverbandes, die Landesverbände der Krankenkassen und die Versicherten.</w:t>
      </w:r>
    </w:p>
    <w:p>
      <w:r>
        <w:rPr>
          <w:color w:val="555555"/>
          <w:sz w:val="17"/>
        </w:rPr>
        <w:t xml:space="preserve">Zitiervorschlag: § 217e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https://recht.nulegal.eu/gesetze/SGB%205/217e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