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SGB 5 — Besondere Wahlrechte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Für Versicherungspflichtige und Versicherungsberechtigte, die bei einer Betriebskrankenkasse beschäftigt sind oder vor dem Rentenbezug beschäftigt waren, gilt § 173 Abs. 2 Satz 1 Nr. 3 entsprechend.</w:t>
      </w:r>
    </w:p>
    <w:p>
      <w:r>
        <w:t xml:space="preserve">(2) Versicherungspflichtige und Versicherungsberechtigte, die bei einem Verband der Betriebskrankenkassen beschäftigt sind oder vor dem Rentenbezug beschäftigt waren, können eine Betriebskrankenkasse am Wohn- oder Beschäftigungsort wählen.</w:t>
      </w:r>
    </w:p>
    <w:p>
      <w:r>
        <w:t xml:space="preserve">(3) Abweichend von § 173 werden Versicherungspflichtige nach § 5 Abs. 1 Nr. 13 Mitglied der Krankenkasse oder des Rechtsnachfolgers der Krankenkasse, bei der sie zuletzt versichert waren, andernfalls werden sie Mitglied der von ihnen nach § 173 Abs. 1 gewählten Krankenkasse; § 173 gilt.</w:t>
      </w:r>
    </w:p>
    <w:p>
      <w:r>
        <w:rPr>
          <w:color w:val="555555"/>
          <w:sz w:val="17"/>
        </w:rPr>
        <w:t xml:space="preserve">Zitiervorschlag: § 174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