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166 SGB 5 — Haftung für Verpflichtungen bei Auflösung oder Schließung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05.04.2020 (konsolidierte Textfassung, kein amtliches Inkrafttretensdatum)</w:t>
      </w:r>
    </w:p>
    <w:p>
      <w:r>
        <w:t xml:space="preserve">(1) Reicht das Vermögen einer aufgelösten oder geschlossenen Krankenkasse nicht aus, um die Gläubiger zu befriedigen, haften die übrigen Krankenkassen.</w:t>
      </w:r>
    </w:p>
    <w:p>
      <w:r>
        <w:t xml:space="preserve">(2) Reicht das Vermögen einer aufgelösten oder geschlossenen Betriebskrankenkasse, deren Satzung keine Regelung nach § 144 Absatz 2 Satz 1 enthält, nicht aus, um die Gläubiger zu befriedigen, hat der Arbeitgeber die Verpflichtungen zu erfüllen. Sind mehrere Arbeitgeber beteiligt, haften sie als Gesamtschuldner. Reicht das Vermögen des Arbeitgebers nicht aus, um die Gläubiger zu befriedigen, findet Absatz 1 Anwendung. Übersteigen die Verpflichtungen einer Krankenkasse ihr Vermögen zum Zeitpunkt des Inkrafttretens einer Satzungsbestimmung nach § 144 Absatz 2 Satz 1, hat der Arbeitgeber den Unterschiedsbetrag innerhalb von sechs Monaten nach dem Inkrafttreten der Satzungsbestimmung auszugleichen. Dies gilt auch bei Vereinigungsverfahren gemäß § 155, wenn Betriebskrankenkassen beteiligt sind, deren Satzung keine Regelung nach § 144 Absatz 2 Satz 1 enthält.</w:t>
      </w:r>
    </w:p>
    <w:p>
      <w:r>
        <w:rPr>
          <w:color w:val="555555"/>
          <w:sz w:val="17"/>
        </w:rPr>
        <w:t xml:space="preserve">Zitiervorschlag: § 166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https://recht.nulegal.eu/gesetze/SGB%205/166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