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156 SGB 5 — Vereinigung auf Antrag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Das Bundesministerium für Gesundheit kann auf Antrag einer bundesunmittelbaren Krankenkasse durch Rechtsverordnung mit Zustimmung des Bundesrates einzelne Krankenkassen dieser Kassenart nach Anhörung der betroffenen Krankenkassen vereinigen, wenn</w:t>
      </w:r>
    </w:p>
    <w:p>
      <w:pPr>
        <w:ind w:left="420"/>
      </w:pPr>
      <w:r>
        <w:t xml:space="preserve">1. durch die Vereinigung die Leistungsfähigkeit der betroffenen Krankenkassen erhöht werden kann und</w:t>
      </w:r>
    </w:p>
    <w:p>
      <w:pPr>
        <w:ind w:left="420"/>
      </w:pPr>
      <w:r>
        <w:t xml:space="preserve">2. eine freiwillige Vereinigung innerhalb von zwölf Monaten nach Antragstellung nicht zustande gekommen ist.</w:t>
      </w:r>
    </w:p>
    <w:p>
      <w:r>
        <w:t xml:space="preserve">(2) Die Landesregierung kann auf Antrag einer landesunmittelbaren Krankenkasse durch Rechtsverordnung einzelne oder alle Krankenkassen dieser Kassenart des Landes nach Anhörung der betroffenen Krankenkassen vereinigen, wenn</w:t>
      </w:r>
    </w:p>
    <w:p>
      <w:pPr>
        <w:ind w:left="420"/>
      </w:pPr>
      <w:r>
        <w:t xml:space="preserve">1. durch die Vereinigung die Leistungsfähigkeit der betroffenen Krankenkassen erhöht werden kann und</w:t>
      </w:r>
    </w:p>
    <w:p>
      <w:pPr>
        <w:ind w:left="420"/>
      </w:pPr>
      <w:r>
        <w:t xml:space="preserve">2. eine freiwillige Vereinigung innerhalb von zwölf Monaten nach Antragstellung nicht zustande gekommen ist.</w:t>
      </w:r>
    </w:p>
    <w:p>
      <w:r>
        <w:t xml:space="preserve">(3) Die Absätze 1 und 2 gelten nicht für Betriebskrankenkassen, deren Satzungen keine Regelung nach § 144 Absatz 2 Satz 1 enthalten.</w:t>
      </w:r>
    </w:p>
    <w:p>
      <w:r>
        <w:rPr>
          <w:color w:val="555555"/>
          <w:sz w:val="17"/>
        </w:rPr>
        <w:t xml:space="preserve">Zitiervorschlag: § 156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https://recht.nulegal.eu/gesetze/SGB%205/156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