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 SGB 5 — Freiwillige Vereinigung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Ortskrankenkassen, Betriebskrankenkassen, Innungskrankenkassen und Ersatzkassen können sich auf Beschluss ihrer Verwaltungsräte vereinigen. Der Beschluss bedarf der Genehmigung der vor der Vereinigung zuständigen Aufsichtsbehörden.</w:t>
      </w:r>
    </w:p>
    <w:p>
      <w:r>
        <w:t xml:space="preserve">(2) Die beteiligten Krankenkassen fügen dem Antrag auf Genehmigung eine Satzung, einen Vorschlag zur Berufung der Mitglieder der Organe, ein Konzept zur Organisations-, Personal- und Finanzstruktur der neuen Krankenkasse einschließlich der Zahl und der Verteilung ihrer Geschäftsstellen sowie eine Vereinbarung über die Rechtsbeziehungen zu Dritten bei. Bei einer kassenartenübergreifenden Vereinigung ist dem Antrag auf Genehmigung auch eine Erklärung beizufügen, welche Kassenartzugehörigkeit aufrechterhalten bleiben soll.</w:t>
      </w:r>
    </w:p>
    <w:p>
      <w:r>
        <w:t xml:space="preserve">(3) Die beteiligten Krankenkassen können Verträge über die Gewährung von Hilfeleistungen schließen, die notwendig sind, um ihre Leistungs- und Wettbewerbsfähigkeit bis zum Zeitpunkt der Wirksamkeit der Vereinigung zu erhalten. In den Verträgen ist Näheres über Umfang, Finanzierung und Durchführung der Hilfeleistungen zu regeln. § 60 des Zehnten Buches gilt entsprechend. Die Verträge sind von den für die am Vertrag beteiligten Krankenkassen zuständigen Aufsichtsbehörden zu genehmigen.</w:t>
      </w:r>
    </w:p>
    <w:p>
      <w:r>
        <w:t xml:space="preserve">(4) Ist bei einer Vereinigung von Betriebskrankenkassen eine Krankenkasse mit einer Satzungsregelung nach § 144 Absatz 2 Satz 1 beteiligt, gilt diese Satzungsregelung auch für die vereinigte Krankenkasse; § 144 Absatz 2 Satz 3 gilt entsprechend.</w:t>
      </w:r>
    </w:p>
    <w:p>
      <w:r>
        <w:t xml:space="preserve">(5) Die Aufsichtsbehörde genehmigt die Satzung und die Vereinbarung, beruft die Mitglieder der Organe und bestimmt den Zeitpunkt, zu dem die Vereinigung wirksam wird.</w:t>
      </w:r>
    </w:p>
    <w:p>
      <w:r>
        <w:t xml:space="preserve">(6) Mit dem nach Absatz 5 bestimmten Zeitpunkt sind die bisherigen Krankenkassen geschlossen. Die neue Krankenkasse tritt in die Rechte und Pflichten der bisherigen Krankenkassen ein.</w:t>
      </w:r>
    </w:p>
    <w:p>
      <w:r>
        <w:rPr>
          <w:color w:val="555555"/>
          <w:sz w:val="17"/>
        </w:rPr>
        <w:t xml:space="preserve">Zitiervorschlag: § 155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