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143 SGB 5 — Ortskrankenkassen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(1) Ortskrankenkassen bestehen für abgegrenzte Regionen.</w:t>
      </w:r>
    </w:p>
    <w:p>
      <w:r>
        <w:t xml:space="preserve">(2) Die Landesregierung kann die Abgrenzung der Regionen durch Rechtsverordnung regeln. Die Landesregierung kann die Ermächtigung auf die nach Landesrecht zuständige Behörde übertragen.</w:t>
      </w:r>
    </w:p>
    <w:p>
      <w:r>
        <w:t xml:space="preserve">(3) Die betroffenen Länder können durch Staatsvertrag vereinbaren, dass sich die Region über mehrere Länder erstreckt.</w:t>
      </w:r>
    </w:p>
    <w:p>
      <w:r>
        <w:rPr>
          <w:color w:val="555555"/>
          <w:sz w:val="17"/>
        </w:rPr>
        <w:t xml:space="preserve">Zitiervorschlag: § 143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https://recht.nulegal.eu/gesetze/SGB%205/143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