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SGB 5 — Versorgung mit Krankentransportleistungen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Soweit die Entgelte für die Inanspruchnahme von Leistungen des Rettungsdienstes und anderer Krankentransporte nicht durch landesrechtliche oder kommunalrechtliche Bestimmungen festgelegt werden, schließen die Krankenkassen oder ihre Landesverbände Verträge über die Vergütung dieser Leistungen mit dafür geeigneten Einrichtungen oder Unternehmen; § 71 Absatz 1 bis 3 gilt. Kommt eine Vereinbarung nach Satz 1 nicht zu Stande und sieht das Landesrecht für diesen Fall eine Festlegung der Vergütungen vor, gilt bei dieser Festlegung § 71 Absatz 1 bis 3 entsprechend. Die in Satz 1 genannten Vertragspartner haben die Sicherstellung der flächendeckenden rettungsdienstlichen Versorgung zu berücksichtigen. Die vereinbarten Preise sind Höchstpreise. Die Preisvereinbarungen haben sich an möglichst preisgünstigen Versorgungsmöglichkeiten auszurichten.</w:t>
      </w:r>
    </w:p>
    <w:p>
      <w:r>
        <w:t xml:space="preserve">(2) Werden die Entgelte für die Inanspruchnahme von Leistungen des Rettungsdienstes durch landesrechtliche oder kommunalrechtliche Bestimmungen festgelegt, müssen die Krankenkassen ihre Leistungspflicht zur Übernahme der Kosten auf Festbeträge in Höhe vergleichbarer wirtschaftlich erbrachter Leistungen beschränken, wenn</w:t>
      </w:r>
    </w:p>
    <w:p>
      <w:pPr>
        <w:ind w:left="420"/>
      </w:pPr>
      <w:r>
        <w:t xml:space="preserve">1. vor der Entgeltfestsetzung den Krankenkassen oder ihren Verbänden die Entgeltkalkulation nicht vollständig vorgelegt und ihnen keine Gelegenheit zur Erörterung gegeben wurde,</w:t>
      </w:r>
    </w:p>
    <w:p>
      <w:pPr>
        <w:ind w:left="420"/>
      </w:pPr>
      <w:r>
        <w:t xml:space="preserve">2. bei der Entgeltbemessung Investitionskosten und Kosten der Reservevorhaltung berücksichtigt worden sind, die durch eine über die Sicherstellung der Leistungen des Rettungsdienstes hinausgehende öffentliche Aufgabe der Einrichtungen bedingt sind,</w:t>
      </w:r>
    </w:p>
    <w:p>
      <w:pPr>
        <w:ind w:left="420"/>
      </w:pPr>
      <w:r>
        <w:t xml:space="preserve">3. die Leistungserbringung gemessen an den rechtlich vorgegebenen Sicherstellungsverpflichtungen unwirtschaftlich ist oder</w:t>
      </w:r>
    </w:p>
    <w:p>
      <w:pPr>
        <w:ind w:left="420"/>
      </w:pPr>
      <w:r>
        <w:t xml:space="preserve">4. die Entgeltbemessung § 71 Absatz 1 bis 3 entsprechende Vorgaben nicht einhält.</w:t>
      </w:r>
    </w:p>
    <w:p>
      <w:r>
        <w:t xml:space="preserve">(3) Absatz 1 gilt auch für Fahrten im Rahmen des Personenbeförderungsgesetzes.</w:t>
      </w:r>
    </w:p>
    <w:p>
      <w:r>
        <w:t xml:space="preserve">(4) § 127 Absatz 9 gilt entsprechend.</w:t>
      </w:r>
    </w:p>
    <w:p>
      <w:r>
        <w:rPr>
          <w:color w:val="555555"/>
          <w:sz w:val="17"/>
        </w:rPr>
        <w:t xml:space="preserve">Zitiervorschlag: § 133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Dieses Dokument: https://recht.nulegal.eu/gesetze/SGB%205/133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