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115g SGB 5 — Behandlung in einer sektorenübergreifenden Versorgungseinrichtung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12.12.2024 (konsolidierte Textfassung, kein amtliches Inkrafttretensdatum)</w:t>
      </w:r>
    </w:p>
    <w:p>
      <w:r>
        <w:t xml:space="preserve">(1) Sektorenübergreifende Versorgungseinrichtungen sind Standorte von Krankenhäusern, die nach § 6c Absatz 1 des Krankenhausfinanzierungsgesetzes als sektorenübergreifende Versorgungseinrichtung bestimmt worden sind und die nach Absatz 3 Satz 1 Nummer 1 vereinbarten stationären Leistungen erbringen. Sektorenübergreifende Versorgungseinrichtungen können über die nach Absatz 3 Satz 1 Nummer 1 vereinbarten stationären Leistungen hinaus folgende Leistungen erbringen:</w:t>
      </w:r>
    </w:p>
    <w:p>
      <w:pPr>
        <w:ind w:left="420"/>
      </w:pPr>
      <w:r>
        <w:t xml:space="preserve">1. ambulante Leistungen aufgrund einer Ermächtigung zur Teilnahme an der vertragsärztlichen Versorgung,</w:t>
      </w:r>
    </w:p>
    <w:p>
      <w:pPr>
        <w:ind w:left="420"/>
      </w:pPr>
      <w:r>
        <w:t xml:space="preserve">2. ambulantes Operieren nach § 115b sowie sonstige ambulante Leistungen, die nach diesem Buch von zugelassenen Krankenhäusern erbracht werden können,</w:t>
      </w:r>
    </w:p>
    <w:p>
      <w:pPr>
        <w:ind w:left="420"/>
      </w:pPr>
      <w:r>
        <w:t xml:space="preserve">3. die nach Absatz 3 Satz 1 Nummer 2 vereinbarten stationären Leistungen und, wenn die jeweilige sektorenübergreifende Versorgungseinrichtung hierbei telemedizinisch von einem kooperierenden Krankenhaus unterstützt wird, die nach Absatz 3 Satz 1 Nummer 3 vereinbarten stationären Leistungen,</w:t>
      </w:r>
    </w:p>
    <w:p>
      <w:pPr>
        <w:ind w:left="420"/>
      </w:pPr>
      <w:r>
        <w:t xml:space="preserve">4. Übergangspflege nach § 39e,</w:t>
      </w:r>
    </w:p>
    <w:p>
      <w:pPr>
        <w:ind w:left="420"/>
      </w:pPr>
      <w:r>
        <w:t xml:space="preserve">5. Kurzzeitpflege nach § 39c.</w:t>
      </w:r>
    </w:p>
    <w:p>
      <w:r>
        <w:t xml:space="preserve">Sektorenübergreifende Versorgungseinrichtungen haben die jeweiligen nach Absatz 3 Satz 1 Nummer 4 vereinbarten Anforderungen zu erfüllen. Die in den Sätzen 1 und 2 genannten stationären Leistungen können auch belegärztlich erbracht werden. Sektorenübergreifende Versorgungseinrichtungen können die in Satz 2 Nummer 4 und 5 genannten Leistungen unter pflegerischer Leitung erbringen, soweit sie nicht ärztlich zu verantworten sind. Nach Absatz 3 Satz 1 Nummer 1 bis 3 vereinbarte stationäre Leistungen und in Satz 2 Nummer 1, 2 und 4 sowie in Absatz 2 genannte Leistungen können auch von Standorten von Krankenhäusern erbracht werden, die keine sektorenübergreifende Versorgungseinrichtung sind.</w:t>
      </w:r>
    </w:p>
    <w:p>
      <w:r>
        <w:t xml:space="preserve">(2) Sektorenübergreifende Versorgungseinrichtungen können zusätzlich Leistungen der Kurzzeitpflege nach § 42 des Elften Buches und der Tagespflege und Nachtpflege nach § 41 des Elften Buches in selbständigen, organisatorisch und wirtschaftlich vom Krankenhaus getrennten Pflegeabteilungen, die als stationäre Pflegeeinrichtung im Sinne des § 72 des Elften Buches zugelassen sind, erbringen.</w:t>
      </w:r>
    </w:p>
    <w:p>
      <w:r>
        <w:t xml:space="preserve">(3) Die Deutsche Krankenhausgesellschaft und der Spitzenverband Bund der Krankenkassen vereinbaren bis zum 31. Dezember 2025 im Benehmen mit dem Verband der Privaten Krankenversicherung,</w:t>
      </w:r>
    </w:p>
    <w:p>
      <w:pPr>
        <w:ind w:left="420"/>
      </w:pPr>
      <w:r>
        <w:t xml:space="preserve">1. welche stationären Leistungen der Inneren Medizin und der Geriatrie sektorenübergreifende Versorgungseinrichtungen mindestens erbringen müssen,</w:t>
      </w:r>
    </w:p>
    <w:p>
      <w:pPr>
        <w:ind w:left="420"/>
      </w:pPr>
      <w:r>
        <w:t xml:space="preserve">2. welche weiteren stationären Leistungen sektorenübergreifende Versorgungseinrichtungen erbringen können,</w:t>
      </w:r>
    </w:p>
    <w:p>
      <w:pPr>
        <w:ind w:left="420"/>
      </w:pPr>
      <w:r>
        <w:t xml:space="preserve">3. welche stationären Leistungen eine sektorenübergreifende Versorgungseinrichtung über die nach den Nummern 1 und 2 vereinbarten stationären Leistungen hinaus erbringen kann, wenn sie hierbei telemedizinisch von einem kooperierenden Krankenhaus unterstützt wird, und</w:t>
      </w:r>
    </w:p>
    <w:p>
      <w:pPr>
        <w:ind w:left="420"/>
      </w:pPr>
      <w:r>
        <w:t xml:space="preserve">4. welche Anforderungen an die Qualität, Patientensicherheit und Dokumentation der Erbringung der nach den Nummern 1 bis 3 vereinbarten stationären Leistungen und an die in Nummer 3 genannte Kooperation gestellt werden und wie diese aufwandsarm geprüft werden.</w:t>
      </w:r>
    </w:p>
    <w:p>
      <w:r>
        <w:t xml:space="preserve">Die in Satz 1 genannten Vertragsparteien haben die Vereinbarung nach Satz 1 oder die Festlegung nach Satz 3 im Abstand von jeweils höchstens zwei Jahren, erstmals zwei Jahre nach ihrem Abschluss oder der ersten Festlegung, an den Stand der medizinischen Erkenntnisse anzupassen. Kommt eine Vereinbarung nach Satz 1 oder Satz 2 nicht fristgerecht zustande, legt die Schiedsstelle nach § 18a Absatz 6 des Krankenhausfinanzierungsgesetzes ohne Antrag einer Vertragspartei innerhalb von drei Monaten den Inhalt der Vereinbarung fest.</w:t>
      </w:r>
    </w:p>
    <w:p>
      <w:r>
        <w:t xml:space="preserve">(4) Der Spitzenverband Bund der Krankenkassen, der Spitzenverband Bund der Pflegekassen, die Kassenärztliche Bundesvereinigung und die Deutsche Krankenhausgesellschaft legen im Benehmen mit dem Verband der Privaten Krankenversicherung dem Bundesministerium für Gesundheit im Abstand von zwei Jahren, erstmals zum 31. Dezember 2029, einen gemeinsamen Bericht über die Auswirkungen der Leistungserbringung durch sektorenübergreifende Versorgungseinrichtungen auf die ambulante, stationäre und pflegerische Versorgung einschließlich der finanziellen Auswirkungen vor. Die für den Bericht erforderlichen Daten sind ihnen von den Krankenkassen, den Pflegekassen, den Krankenhäusern und den Kassenärztlichen Vereinigungen in anonymisierter Form zu übermitteln.</w:t>
      </w:r>
    </w:p>
    <w:p>
      <w:r>
        <w:rPr>
          <w:color w:val="555555"/>
          <w:sz w:val="17"/>
        </w:rPr>
        <w:t xml:space="preserve">Zitiervorschlag: § 115g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https://recht.nulegal.eu/gesetze/SGB%205/115g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