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106a SGB 5 — Wirtschaftlichkeitsprüfung ärztlicher Leistungen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Wirtschaftlichkeit der erbrachten ärztlichen Leistungen kann auf begründeten Antrag einer einzelnen Krankenkasse, mehrerer Krankenkassen gemeinsam oder der Kassenärztlichen Vereinigung arztbezogen durch die jeweilige Prüfungsstelle nach § 106c geprüft werden. Die Prüfung kann neben dem zur Abrechnung vorgelegten Leistungsvolumen auch Überweisungen sowie sonstige veranlasste ärztliche Leistungen, insbesondere aufwändige medizinisch-technische Leistungen umfassen; honorarwirksame Begrenzungsregelungen haben keinen Einfluss auf die Prüfungen.</w:t>
      </w:r>
    </w:p>
    <w:p>
      <w:r>
        <w:t xml:space="preserve">(2) Veranlassung für die Prüfung der Wirtschaftlichkeit nach Absatz 1 besteht insbesondere</w:t>
      </w:r>
    </w:p>
    <w:p>
      <w:pPr>
        <w:ind w:left="420"/>
      </w:pPr>
      <w:r>
        <w:t xml:space="preserve">1. bei begründetem Verdacht auf fehlende medizinische Notwendigkeit der Leistungen (Fehlindikation),</w:t>
      </w:r>
    </w:p>
    <w:p>
      <w:pPr>
        <w:ind w:left="420"/>
      </w:pPr>
      <w:r>
        <w:t xml:space="preserve">2. bei begründetem Verdacht auf fehlende Eignung der Leistungen zur Erreichung des therapeutischen oder diagnostischen Ziels (Ineffektivität),</w:t>
      </w:r>
    </w:p>
    <w:p>
      <w:pPr>
        <w:ind w:left="420"/>
      </w:pPr>
      <w:r>
        <w:t xml:space="preserve">3. bei begründetem Verdacht auf mangelnde Übereinstimmung der Leistungen mit den anerkannten Kriterien für ihre fachgerechte Erbringung (Qualitätsmangel), insbesondere in Bezug auf die in den Richtlinien des Gemeinsamen Bundesausschusses enthaltenen Vorgaben,</w:t>
      </w:r>
    </w:p>
    <w:p>
      <w:pPr>
        <w:ind w:left="420"/>
      </w:pPr>
      <w:r>
        <w:t xml:space="preserve">4. bei begründetem Verdacht auf Unangemessenheit der durch die Leistungen verursachten Kosten im Hinblick auf das Behandlungsziel oder</w:t>
      </w:r>
    </w:p>
    <w:p>
      <w:pPr>
        <w:ind w:left="420"/>
      </w:pPr>
      <w:r>
        <w:t xml:space="preserve">5. bei begründetem Verdacht, dass Leistungen des Zahnersatzes und der Kieferorthopädie unvereinbar mit dem Heil- und Kostenplan sind.</w:t>
      </w:r>
    </w:p>
    <w:p>
      <w:r>
        <w:t xml:space="preserve">(3) Die Kassenärztlichen Bundesvereinigungen und der Spitzenverband Bund der Krankenkassen vereinbaren bis zum 30. November 2019 das Nähere zu den Voraussetzungen nach Absatz 2 in Rahmenempfehlungen. Die Rahmenempfehlungen sind bei den Vereinbarungen nach § 106 Absatz 1 Satz 2 zu berücksichtigen.</w:t>
      </w:r>
    </w:p>
    <w:p>
      <w:r>
        <w:t xml:space="preserve">(4) Die in § 106 Absatz 1 Satz 2 genannten Vertragspartner können über die Prüfung nach Absatz 1 hinaus Prüfungen ärztlicher Leistungen nach Durchschnittswerten oder andere arztbezogene Prüfungsarten vereinbaren. Hat der Landesausschuss der Ärzte und Krankenkassen eine Feststellung nach § 100 Absatz 1 oder Absatz 3 getroffen, dürfen bei Ärzten der betroffenen Arztgruppe keine Prüfungen nach Durchschnittswerten durchgeführt werden. In den Vereinbarungen nach § 106 Absatz 1 Satz 2 sind die Zahl der je Quartal höchstens zu prüfenden Ärzte in einer Kassenärztlichen Vereinigung sowie im Rahmen der Prüfungen nach Absatz 1 und der Prüfungen nach Satz 1 als Kriterien zur Unterscheidung Praxisbesonderheiten festzulegen, die sich aus besonderen Standort- und Strukturmerkmalen des Leistungserbringers oder bei besonderen Behandlungsfällen ergeben. Die Praxisbesonderheiten sind vor Durchführung der Prüfungen als besonderer Versorgungsbedarf durch die Prüfungsstellen anzuerkennen; dies gilt insbesondere auch bei der Beurteilung der Wirtschaftlichkeit von Besuchsleistungen.</w:t>
      </w:r>
    </w:p>
    <w:p>
      <w:r>
        <w:rPr>
          <w:color w:val="555555"/>
          <w:sz w:val="17"/>
        </w:rPr>
        <w:t xml:space="preserve">Zitiervorschlag: § 106a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https://recht.nulegal.eu/gesetze/SGB%205/106a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