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 SGB 4 — Kommunikationsserver</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01.01.2024 (konsolidierte Textfassung, kein amtliches Inkrafttretensdatum)</w:t>
      </w:r>
    </w:p>
    <w:p>
      <w:r>
        <w:t xml:space="preserve">(1) Zur Bündelung der Datenübermittlung vom Arbeitgeber an die Sozialversicherungsträger, zwischen Sozialversicherungsträgern und mit anderen öffentlichen Stellen nach diesem Gesetzbuch und dem Aufwendungsausgleichsgesetz sowie des zugehörigen Rückmeldeverfahrens betreiben die gesetzliche Krankenversicherung und die Datenstelle der Rentenversicherung jeweils einen Kommunikationsserver. Die in § 97 Absatz 1 Satz 3 genannten Stellen können Aufgaben nach § 97 Absatz 3 bis 5 ihrer Annahmestelle auf einen Kommunikationsserver übertragen. Eingehende Meldungen der Arbeitgeber sind unverzüglich an die zuständige Annahmestelle weiterzuleiten. Der technische Eingang der Meldung ist zu quittieren.</w:t>
      </w:r>
    </w:p>
    <w:p>
      <w:r>
        <w:t xml:space="preserve">(2) Der Meldepflichtige hat Meldungen der Sozialversicherungsträger oder anderer öffentlicher Stellen nach diesem Gesetzbuch mindestens einmal wöchentlich von den Kommunikationsservern elektronisch abzurufen, zu speichern und zu nutzen. Der verwertbare Empfang ist durch den Meldepflichtigen zu quittieren. Mit der Annahme der Quittung durch den Kommunikationsserver gelten die Meldungen als dem Meldepflichtigen zugegangen. 42 Tage nach Eingang der Quittung sind diese Meldungen durch den Sozialversicherungsträger oder die andere öffentliche Stelle zu löschen. Erfolgt keine Quittierung, werden Meldungen 42 Tage nach der Bereitstellung zum Abruf gelöscht. Satz 1 gilt nicht für Arbeitgeber, die Meldungen nach § 28a Absatz 6a und 7 abgeben. Diese erhalten die Meldungen von den Sozialversicherungsträgern in schriftlicher Form übermittelt. Das Nähere zum Abrufverfahren wird in Gemeinsamen Grundsätzen entsprechend § 28b Absatz 1 Satz 1 Nummer 3 geregelt.</w:t>
      </w:r>
    </w:p>
    <w:p>
      <w:r>
        <w:rPr>
          <w:color w:val="555555"/>
          <w:sz w:val="17"/>
        </w:rPr>
        <w:t xml:space="preserve">Zitiervorschlag: § 96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 SGB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