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SGB 4 — Prüfung und Unterrichtung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02.12.2019 (konsolidierte Textfassung, kein amtliches Inkrafttretensdatum)</w:t>
      </w:r>
    </w:p>
    <w:p>
      <w:r>
        <w:t xml:space="preserve">(1) Die Aufsichtsbehörde kann die Geschäfts- und Rechnungsführung des Versicherungsträgers prüfen.</w:t>
      </w:r>
    </w:p>
    <w:p>
      <w:r>
        <w:t xml:space="preserve">(2) Die Versicherungsträger haben der Aufsichtsbehörde oder ihren Beauftragten auf Verlangen alle Unterlagen vorzulegen und alle Auskünfte zu erteilen, die zur Ausübung des Aufsichtsrechts auf Grund pflichtgemäßer Prüfung der Aufsichtsbehörde gefordert werden. Die Vorlage- und Auskunftspflicht umfasst auch elektronisch gespeicherte Daten sowie deren automatisierten Abruf durch die Aufsichtsbehörde.</w:t>
      </w:r>
    </w:p>
    <w:p>
      <w:r>
        <w:t xml:space="preserve">(3) (weggefallen)</w:t>
      </w:r>
    </w:p>
    <w:p>
      <w:r>
        <w:rPr>
          <w:color w:val="555555"/>
          <w:sz w:val="17"/>
        </w:rPr>
        <w:t xml:space="preserve">Zitiervorschlag: § 88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