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SGB 4 — Ausnahmegenehmigung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13.01.2023 (konsolidierte Textfassung, kein amtliches Inkrafttretensdatum)</w:t>
      </w:r>
    </w:p>
    <w:p>
      <w:r>
        <w:t xml:space="preserve">Die Versicherungsträger können mit Genehmigung der Aufsichtsbehörde ihre Mittel abweichend von § 83 anlegen, wenn wichtige Gründe eine im Interesse des Versicherungsträgers liegende andere Anlage rechtfertigen. In der Genehmigung müssen die Anlageform und der innerhalb einer bestimmten Frist höchstens anzulegende Gesamtbetrag bestimmt sein.</w:t>
      </w:r>
    </w:p>
    <w:p>
      <w:r>
        <w:rPr>
          <w:color w:val="555555"/>
          <w:sz w:val="17"/>
        </w:rPr>
        <w:t xml:space="preserve">Zitiervorschlag: § 86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