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7d SGB 4 — Führung und Verwaltung von Wertguthaben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Wertguthaben sind als Arbeitsentgeltguthaben einschließlich des darauf entfallenden Arbeitgeberanteils am Gesamtsozialversicherungsbeitrag zu führen. Die Arbeitszeitguthaben sind in Arbeitsentgelt umzurechnen.</w:t>
      </w:r>
    </w:p>
    <w:p>
      <w:r>
        <w:t xml:space="preserve">(2) Arbeitgeber haben Beschäftigte mindestens einmal jährlich in Textform über die Höhe ihres im Wertguthaben enthaltenen Arbeitsentgeltguthabens zu unterrichten.</w:t>
      </w:r>
    </w:p>
    <w:p>
      <w:r>
        <w:t xml:space="preserve">(3) Für die Anlage von Wertguthaben gelten die Vorschriften über die Anlage der Mittel von Versicherungsträgern nach dem Vierten Titel des Vierten Abschnitts entsprechend, mit der Maßgabe, dass eine Anlage in Aktien oder Aktienfonds bis zu einer Höhe von 20 Prozent zulässig und ein Rückfluss zum Zeitpunkt der Inanspruchnahme des Wertguthabens mindestens in der Höhe des angelegten Betrages gewährleistet ist. Ein höherer Anlageanteil in Aktien oder Aktienfonds ist zulässig, wenn</w:t>
      </w:r>
    </w:p>
    <w:p>
      <w:pPr>
        <w:ind w:left="420"/>
      </w:pPr>
      <w:r>
        <w:t xml:space="preserve">1. dies in einem Tarifvertrag oder auf Grund eines Tarifvertrages in einer Betriebsvereinbarung vereinbart ist oder</w:t>
      </w:r>
    </w:p>
    <w:p>
      <w:pPr>
        <w:ind w:left="420"/>
      </w:pPr>
      <w:r>
        <w:t xml:space="preserve">2. das Wertguthaben nach der Wertguthabenvereinbarung ausschließlich für Freistellungen nach § 7c Absatz 1 Nummer 2 Buchstabe a in Anspruch genommen werden kann.</w:t>
      </w:r>
    </w:p>
    <w:p>
      <w:r>
        <w:rPr>
          <w:color w:val="555555"/>
          <w:sz w:val="17"/>
        </w:rPr>
        <w:t xml:space="preserve">Zitiervorschlag: § 7d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