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SGB 4 — Erhebung der Einnahmen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Einnahmen sind rechtzeitig und vollständig zu erheben.</w:t>
      </w:r>
    </w:p>
    <w:p>
      <w:r>
        <w:t xml:space="preserve">(2) Der Versicherungsträger darf Ansprüche nur</w:t>
      </w:r>
    </w:p>
    <w:p>
      <w:pPr>
        <w:ind w:left="420"/>
      </w:pPr>
      <w:r>
        <w:t xml:space="preserve">1. stunden, wenn die sofortige Einziehung mit erheblichen Härten für die Anspruchsgegner verbunden wäre und der Anspruch durch die Stundung nicht gefährdet wird,</w:t>
      </w:r>
    </w:p>
    <w:p>
      <w:pPr>
        <w:ind w:left="420"/>
      </w:pPr>
      <w:r>
        <w:t xml:space="preserve">2. niederschlagen, wenn feststeht, dass die Einziehung keinen Erfolg haben wird, oder wenn die Kosten der Einziehung außer Verhältnis zur Höhe des Anspruchs stehen,</w:t>
      </w:r>
    </w:p>
    <w:p>
      <w:pPr>
        <w:ind w:left="420"/>
      </w:pPr>
      <w:r>
        <w:t xml:space="preserve">3. erlassen, wenn deren Einziehung nach Lage des einzelnen Falles unbillig wäre; unter den gleichen Voraussetzungen können bereits entrichtete Beiträge erstattet oder angerechnet werden.</w:t>
      </w:r>
    </w:p>
    <w:p>
      <w:r>
        <w:t xml:space="preserve">Die Stundung soll gegen angemessene Verzinsung und in der Regel nur gegen Sicherheitsleistung gewährt werden. Im Falle des Satzes 1 Nummer 2 dürfen Beitragsansprüche auch niedergeschlagen werden, wenn der Arbeitgeber mehr als sechs Monate meldepflichtige Beschäftigte nicht mehr gemeldet hat und die Ansprüche die von den Spitzenverbänden der Sozialversicherung und der Bundesagentur für Arbeit gemeinsam und einheitlich festgelegten Beträge nicht überschreiten; die Grenzbeträge sollen auch an eine vorherige Vollstreckungsmaßnahme gebunden werden, wenn die Kosten der Maßnahme in einem wirtschaftlich vertretbaren Verhältnis zur Höhe der Forderung stehen. Die Vereinbarung nach Satz 3 bedarf der Genehmigung des Bundesministeriums für Arbeit und Soziales. Kommt eine Vereinbarung nach Satz 3 nicht innerhalb einer vom Bundesministerium für Arbeit und Soziales festgesetzten Frist zustande, bestimmt dieses nach Anhörung der Beteiligten die Beträge durch Rechtsverordnung mit Zustimmung des Bundesrates.</w:t>
      </w:r>
    </w:p>
    <w:p>
      <w:r>
        <w:t xml:space="preserve">(3) Für Ansprüche auf den Gesamtsozialversicherungsbeitrag trifft die Entscheidung nach Absatz 2 die zuständige Einzugsstelle. Hat die Einzugsstelle einem Schuldner für länger als zwei Monate Beitragsansprüche gestundet, deren Höhe die Bezugsgröße übersteigt, ist sie verpflichtet, bei der nächsten Monatsabrechnung die zuständigen Träger der Rentenversicherung und die Bundesagentur für Arbeit über die Höhe der auf sie entfallenden Beitragsansprüche und über den Zeitraum, für den die Beitragsansprüche gestundet sind, zu unterrichten. Die Einzugsstelle darf</w:t>
      </w:r>
    </w:p>
    <w:p>
      <w:pPr>
        <w:ind w:left="420"/>
      </w:pPr>
      <w:r>
        <w:t xml:space="preserve">1. eine weitere Stundung der Beitragsansprüche sowie</w:t>
      </w:r>
    </w:p>
    <w:p>
      <w:pPr>
        <w:ind w:left="420"/>
      </w:pPr>
      <w:r>
        <w:t xml:space="preserve">2. die Niederschlagung von Beitragsansprüchen, deren Höhe insgesamt die Bezugsgröße übersteigt, und</w:t>
      </w:r>
    </w:p>
    <w:p>
      <w:pPr>
        <w:ind w:left="420"/>
      </w:pPr>
      <w:r>
        <w:t xml:space="preserve">3. den Erlass von Beitragsansprüchen, deren Höhe insgesamt den Betrag von einem Sechstel der Bezugsgröße übersteigt,</w:t>
      </w:r>
    </w:p>
    <w:p>
      <w:r>
        <w:t xml:space="preserve">nur im Einvernehmen mit den beteiligten Trägern der Rentenversicherung und der Bundesagentur für Arbeit vornehmen.</w:t>
      </w:r>
    </w:p>
    <w:p>
      <w:r>
        <w:t xml:space="preserve">(4) Die Einzugsstelle kann einen Vergleich über rückständige Beitragsansprüche schließen, wenn dies für die Einzugsstelle, die beteiligten Träger der Rentenversicherung und die Bundesagentur für Arbeit wirtschaftlich und zweckmäßig ist. Die Einzugsstelle darf den Vergleich über rückständige Beitragsansprüche, deren Höhe die Bezugsgröße insgesamt übersteigt, nur im Einvernehmen mit den beteiligten Trägern der Rentenversicherung und der Bundesagentur für Arbeit schließen. Der Träger der Unfallversicherung kann einen Vergleich über rückständige Beitragsansprüche schließen, wenn dies wirtschaftlich und zweckmäßig ist. Für die Träger der Rentenversicherung gilt Satz 3, soweit es sich nicht um Ansprüche aus dem Gesamtsozialversicherungsbeitrag handelt.</w:t>
      </w:r>
    </w:p>
    <w:p>
      <w:r>
        <w:t xml:space="preserve">(5) Die Bundesagentur für Arbeit kann einen Vergleich abschließen, wenn dies wirtschaftlich und zweckmäßig ist.</w:t>
      </w:r>
    </w:p>
    <w:p>
      <w:r>
        <w:rPr>
          <w:color w:val="555555"/>
          <w:sz w:val="17"/>
        </w:rPr>
        <w:t xml:space="preserve">Zitiervorschlag: § 76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