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 SGB 4 — Sozialversicherungswahlen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04.07.2020 (konsolidierte Textfassung, kein amtliches Inkrafttretensdatum)</w:t>
      </w:r>
    </w:p>
    <w:p>
      <w:r>
        <w:t xml:space="preserve">(1) Die Wahlen sind entweder allgemeine Wahlen oder Wahlen in besonderen Fällen. Allgemeine Wahlen sind die im gesamten Wahlgebiet regelmäßig und einheitlich stattfindenden Wahlen. Wahlen in besonderen Fällen sind Wahlen zu den Organen neu errichteter Versicherungsträger und Wahlen, die erforderlich werden, weil eine Wahl für ungültig erklärt worden ist (Wiederholungswahlen).</w:t>
      </w:r>
    </w:p>
    <w:p>
      <w:r>
        <w:t xml:space="preserve">(2) Die Wahlen sind frei, geheim und öffentlich; es gelten die Grundsätze der Verhältniswahl. Das Wahlergebnis wird nach dem Höchstzahlverfahren d'Hondt ermittelt. Dabei werden nur die Vorschlagslisten berücksichtigt, die mindestens fünf vom Hundert der abgegebenen gültigen Stimmen erhalten haben.</w:t>
      </w:r>
    </w:p>
    <w:p>
      <w:r>
        <w:rPr>
          <w:color w:val="555555"/>
          <w:sz w:val="17"/>
        </w:rPr>
        <w:t xml:space="preserve">Zitiervorschlag: § 45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 SGB 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