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SGB 4 — Eigene und übertragene Aufgaben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Versicherungsträger dürfen nur Geschäfte zur Erfüllung ihrer gesetzlich vorgeschriebenen oder zugelassenen Aufgaben führen und ihre Mittel nur für diese Aufgaben sowie die Verwaltungskosten verwenden.</w:t>
      </w:r>
    </w:p>
    <w:p>
      <w:r>
        <w:t xml:space="preserve">(2) Den Versicherungsträgern dürfen Aufgaben anderer Versicherungsträger und Träger öffentlicher Verwaltung nur auf Grund eines Gesetzes übertragen werden; dadurch entstehende Kosten sind ihnen zu erstatten. Verwaltungsvereinbarungen der Versicherungsträger zur Durchführung ihrer Aufgaben bleiben unberührt.</w:t>
      </w:r>
    </w:p>
    <w:p>
      <w:r>
        <w:t xml:space="preserve">(3) Versicherungsträger können die für sie zuständigen obersten Bundes- und Landesbehörden insbesondere in Fragen der Rechtsetzung kurzzeitig personell unterstützen. Dadurch entstehende Kosten sind ihnen grundsätzlich zu erstatten; Ausnahmen werden in den jeweiligen Gesetzen zur Feststellung der Haushalte von Bund und Ländern festgelegt.</w:t>
      </w:r>
    </w:p>
    <w:p>
      <w:r>
        <w:rPr>
          <w:color w:val="555555"/>
          <w:sz w:val="17"/>
        </w:rPr>
        <w:t xml:space="preserve">Zitiervorschlag: § 30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