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SGB 4 — Persönlicher und räumlicher Geltungsbereich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über die Versicherungspflicht und die Versicherungsberechtigung gelten,</w:t>
      </w:r>
    </w:p>
    <w:p>
      <w:pPr>
        <w:ind w:left="420"/>
      </w:pPr>
      <w:r>
        <w:t xml:space="preserve">1. soweit sie eine Beschäftigung oder eine selbständige Tätigkeit voraussetzen, für alle Personen, die im Geltungsbereich dieses Gesetzbuchs beschäftigt oder selbständig tätig sind,</w:t>
      </w:r>
    </w:p>
    <w:p>
      <w:pPr>
        <w:ind w:left="420"/>
      </w:pPr>
      <w:r>
        <w:t xml:space="preserve">2. soweit sie eine Beschäftigung oder eine selbständige Tätigkeit nicht voraussetzen, für alle Personen, die ihren Wohnsitz oder gewöhnlichen Aufenthalt im Geltungsbereich dieses Gesetzbuchs haben.</w:t>
      </w:r>
    </w:p>
    <w:p>
      <w:r>
        <w:rPr>
          <w:color w:val="555555"/>
          <w:sz w:val="17"/>
        </w:rPr>
        <w:t xml:space="preserve">Zitiervorschlag: § 3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