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28b SGB 4 — Inhalte und Verfahren für die Gemeinsamen Grundsätze und die Datenfeldbeschreibung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31.12.2025 (konsolidierte Textfassung, kein amtliches Inkrafttretensdatum)</w:t>
      </w:r>
    </w:p>
    <w:p>
      <w:r>
        <w:t xml:space="preserve">(1) Der Spitzenverband Bund der Krankenkassen, die Deutsche Rentenversicherung Bund, die Deutsche Rentenversicherung Knappschaft-Bahn-See, die Bundesagentur für Arbeit und die Deutsche Gesetzliche Unfallversicherung e.V. bestimmen in Gemeinsamen Grundsätzen bundeseinheitlich:</w:t>
      </w:r>
    </w:p>
    <w:p>
      <w:pPr>
        <w:ind w:left="420"/>
      </w:pPr>
      <w:r>
        <w:t xml:space="preserve">1. die Schlüsselzahlen für Personengruppen, Beitragsgruppen und für Abgabegründe der Meldungen,</w:t>
      </w:r>
    </w:p>
    <w:p>
      <w:pPr>
        <w:ind w:left="420"/>
      </w:pPr>
      <w:r>
        <w:t xml:space="preserve">2. den Aufbau, den Inhalt und die Identifizierung der einzelnen Datensätze sowie die Verfahren für die Übermittlung von Meldungen und Beitragsnachweisen durch den Arbeitgeber an die Sozialversicherungsträger, soweit nichts Abweichendes in diesem Buch geregelt ist,</w:t>
      </w:r>
    </w:p>
    <w:p>
      <w:pPr>
        <w:ind w:left="420"/>
      </w:pPr>
      <w:r>
        <w:t xml:space="preserve">3. den Aufbau und den Inhalt der einzelnen Datensätze für die Übermittlung von Eingangs- und Weiterleitungsbestätigungen, Fehlermeldungen und sonstigen Meldungen der Sozialversicherungsträger und anderer am Meldeverfahren beteiligter Stellen an die Arbeitgeber in den Verfahren nach Nummer 2,</w:t>
      </w:r>
    </w:p>
    <w:p>
      <w:pPr>
        <w:ind w:left="420"/>
      </w:pPr>
      <w:r>
        <w:t xml:space="preserve">4. gesondert den Aufbau und den Inhalt der Datensätze für die Kommunikationsdaten, die einheitlich am Beginn und am Ende jedes Dateisystems in den Verfahren nach Nummer 2 bei jeder Datenübertragung vom Arbeitgeber an die Sozialversicherung und bei Meldungen an den Arbeitgeber zu übermitteln sind.</w:t>
      </w:r>
    </w:p>
    <w:p>
      <w:r>
        <w:t xml:space="preserve">Satz 1 Nummer 3 und 4 gilt auch für das Zahlstellenmeldeverfahren nach § 202 des Fünften Buches und für das Antragsverfahren nach § 2 Absatz 3 des Aufwendungsausgleichsgesetzes. Die Gemeinsamen Grundsätze bedürfen der Genehmigung des Bundesministeriums für Arbeit und Soziales, das vorher die Bundesvereinigung der Deutschen Arbeitgeberverbände anzuhören hat.</w:t>
      </w:r>
    </w:p>
    <w:p>
      <w:r>
        <w:t xml:space="preserve">(2) Der Spitzenverband Bund der Krankenkassen, die Deutsche Rentenversicherung Bund, die Deutsche Rentenversicherung Knappschaft-Bahn-See und die Deutsche Gesetzliche Unfallversicherung e. V. bestimmen bundeseinheitlich das Verfahren, die Gestaltung des Haushaltsschecks nach § 28a Absatz 7 und das der Einzugsstelle in diesem Verfahren zu erteilende Lastschriftmandat durch Gemeinsame Grundsätze. Die Grundsätze bedürfen der Genehmigung des Bundesministeriums für Arbeit und Soziales, das vorher in Bezug auf die steuerrechtlichen Angaben das Bundesministerium der Finanzen anzuhören hat.</w:t>
      </w:r>
    </w:p>
    <w:p>
      <w:r>
        <w:t xml:space="preserve">(3) Soweit Meldungen nach § 28a Absatz 10 oder 11 betroffen sind, gilt Absatz 1 entsprechend mit der Maßgabe, dass die Arbeitsgemeinschaft berufsständischer Versorgungseinrichtungen e. V. zu beteiligen ist.</w:t>
      </w:r>
    </w:p>
    <w:p>
      <w:r>
        <w:t xml:space="preserve">(4) (weggefallen)</w:t>
      </w:r>
    </w:p>
    <w:p>
      <w:r>
        <w:rPr>
          <w:color w:val="555555"/>
          <w:sz w:val="17"/>
        </w:rPr>
        <w:t xml:space="preserve">Zitiervorschlag: § 28b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