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18m SGB 4 — Verarbeitung der Betriebsnummer</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22.01.2026 (konsolidierte Textfassung, kein amtliches Inkrafttretensdatum)</w:t>
      </w:r>
    </w:p>
    <w:p>
      <w:r>
        <w:t xml:space="preserve">(1) Die Bundesagentur für Arbeit übermittelt die Betriebsnummern und die Angaben nach § 18i Absatz 2 und 4 aus dem Dateisystem der Beschäftigungsbetriebe den Leistungsträgern nach den §§ 12 und 18 bis 29 des Ersten Buches, der Künstlersozialkasse, der Datenstelle der Rentenversicherung, den berufsständischen Versorgungseinrichtungen und deren Datenannahmestelle und der Deutschen Gesetzlichen Unfallversicherung e. V. sowie den gemeinsamen Einrichtungen im Sinne von § 4 Absatz 2 des Tarifvertragsgesetzes zur weiteren Verarbeitung, soweit dies für die Erfüllung ihrer Aufgaben nach diesem Gesetzbuch erforderlich ist.</w:t>
      </w:r>
    </w:p>
    <w:p>
      <w:r>
        <w:t xml:space="preserve">(1a) In den Fällen des § 11 Absatz 1 Satz 3 des Betriebsrentengesetzes übermittelt die Bundesagentur für Arbeit die Betriebsnummer an den Träger der Insolvenzsicherung nach dem Betriebsrentengesetz.</w:t>
      </w:r>
    </w:p>
    <w:p>
      <w:r>
        <w:t xml:space="preserve">(2) Die Sozialversicherungsträger, ihre Verbände und ihre Arbeitsgemeinschaften, die Künstlersozialkasse, die Behörden der Zollverwaltung, soweit sie Aufgaben nach § 2 oder § 25 des Schwarzarbeitsbekämpfungsgesetzes oder nach § 66 des Zehnten Buches wahrnehmen, sowie die zuständigen Aufsichtsbehörden und die Arbeitgeber dürfen die Betriebsnummern speichern, verändern, nutzen, übermitteln und in der Verarbeitung einschränken, soweit dies für die Erfüllung einer Aufgabe nach diesem Gesetzbuch oder dem Künstlersozialversicherungsgesetz erforderlich ist. Andere Behörden, Gerichte oder Dritte dürfen die Betriebsnummern speichern, verändern, nutzen, übermitteln oder in der Verarbeitung einschränken, soweit dies für die Erfüllung einer gesetzlichen Aufgabe einer der in Satz 1 genannten Stellen erforderlich ist.</w:t>
      </w:r>
    </w:p>
    <w:p>
      <w:r>
        <w:rPr>
          <w:color w:val="555555"/>
          <w:sz w:val="17"/>
        </w:rPr>
        <w:t xml:space="preserve">Zitiervorschlag: § 18m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https://recht.nulegal.eu/gesetze/SGB%204/18m</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