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18e SGB 4 — Ermittlung von Einkommensänderungen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Für Bezieher von Arbeitsentgelt und diesem vergleichbaren Einkommen hat der Arbeitgeber auf Verlangen des Versicherungsträgers das von ihnen für das letzte Kalenderjahr erzielte Arbeitsentgelt und vergleichbare Einkommen und den Zeitraum, für den es gezahlt wurde, mitzuteilen. Der Arbeitgeber ist zur Mitteilung nicht verpflichtet, wenn er der Sozialversicherung das Arbeitsentgelt gemäß den Vorschriften über die Erfassung von Daten und Datenübermittlung bereits gemeldet hat. Satz 2 gilt nicht, wenn das tatsächliche Entgelt die Beitragsbemessungsgrenze übersteigt.</w:t>
      </w:r>
    </w:p>
    <w:p>
      <w:r>
        <w:t xml:space="preserve">(2) Bezieher von Arbeitseinkommen haben auf Verlangen des Versicherungsträgers ihr im letzten Kalenderjahr erzieltes Arbeitseinkommen und den Zeitraum, in dem es erzielt wurde, bis zum 31. März des Folgejahres mitzuteilen.</w:t>
      </w:r>
    </w:p>
    <w:p>
      <w:r>
        <w:t xml:space="preserve">(3) Für Bezieher von Erwerbsersatzeinkommen haben die Zahlstellen auf Verlangen des Versicherungsträgers das von ihnen im maßgebenden Zeitraum gezahlte Erwerbsersatzeinkommen und den Zeitraum, für den es gezahlt wurde, mitzuteilen.</w:t>
      </w:r>
    </w:p>
    <w:p>
      <w:r>
        <w:t xml:space="preserve">(3a) Bezieher von Vermögenseinkommen haben auf Verlangen des Versicherungsträgers ihr im letzten Kalenderjahr erzieltes Einkommen mitzuteilen. Für Bezieher von Kapitalerträgen nach § 20 des Einkommensteuergesetzes haben die auszahlenden Stellen eine Bescheinigung über die von ihr gezahlten Erträge auszustellen.</w:t>
      </w:r>
    </w:p>
    <w:p>
      <w:r>
        <w:t xml:space="preserve">(4) (weggefallen)</w:t>
      </w:r>
    </w:p>
    <w:p>
      <w:r>
        <w:t xml:space="preserve">(5) Im Fall des § 18d Absatz 2 findet § 18c für den erforderlichen Nachweis der Einkommensminderung entsprechende Anwendung.</w:t>
      </w:r>
    </w:p>
    <w:p>
      <w:r>
        <w:t xml:space="preserve">(6) Bei der Berücksichtigung von Einkommensänderungen bedarf es nicht der vorherigen Anhörung des Berechtigten.</w:t>
      </w:r>
    </w:p>
    <w:p>
      <w:r>
        <w:t xml:space="preserve">(7) Wird eine Rente wegen Todes wegen der Höhe des zu berücksichtigenden Einkommens nach dem 1. Juli eines jeden Jahres weiterhin in vollem Umfang nicht gezahlt, ist der Erlass eines erneuten Verwaltungsaktes nicht erforderlich.</w:t>
      </w:r>
    </w:p>
    <w:p>
      <w:r>
        <w:rPr>
          <w:color w:val="555555"/>
          <w:sz w:val="17"/>
        </w:rPr>
        <w:t xml:space="preserve">Zitiervorschlag: § 18e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