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18d SGB 4 — Einkommensänderungen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13.01.2023 (konsolidierte Textfassung, kein amtliches Inkrafttretensdatum)</w:t>
      </w:r>
    </w:p>
    <w:p>
      <w:r>
        <w:t xml:space="preserve">(1) Einkommensänderungen sind erst vom nächstfolgenden 1. Juli an zu berücksichtigen; einmalig gezahltes Vermögenseinkommen ist vom Beginn des Kalendermonats an zu berücksichtigen, für den es als erzielt gilt. Eine Änderung des Einkommens ist auch die Änderung des zu berücksichtigenden voraussichtlichen Einkommens oder die Feststellung des tatsächlichen Einkommens nach der Berücksichtigung voraussichtlichen Einkommens.</w:t>
      </w:r>
    </w:p>
    <w:p>
      <w:r>
        <w:t xml:space="preserve">(2) Minderungen des berücksichtigten Einkommens können vom Zeitpunkt ihres Eintritts an berücksichtigt werden, wenn das laufende Einkommen um wenigstens zehn vom Hundert geringer ist als das berücksichtigte Einkommen; bei Arbeits- und Vermögenseinkommen gilt das im Durchschnitt voraussichtliche Einkommen. Erwerbsersatzeinkommen im Sinne von § 18a Absatz 3 Satz 1 Nummer 1 ist zu berücksichtigen, solange das Erwerbsersatzeinkommen gezahlt wird. Einmalig gezahltes Arbeitsentgelt des Vorjahres ist beim laufenden Arbeitsentgelt mit einem Zwölftel zu berücksichtigen; § 18b Absatz 4 zweiter Halbsatz bleibt unberührt.</w:t>
      </w:r>
    </w:p>
    <w:p>
      <w:r>
        <w:rPr>
          <w:color w:val="555555"/>
          <w:sz w:val="17"/>
        </w:rPr>
        <w:t xml:space="preserve">Zitiervorschlag: § 18d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https://recht.nulegal.eu/gesetze/SGB%204/18d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