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SGB 4 — Umrechnung von ausländischem Einkommen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Ist Einkommen zu berücksichtigen, das in fremder Währung erzielt wird, wird es in Euro nach dem Referenzkurs umgerechnet, den die Europäische Zentralbank öffentlich bekannt gibt. Wird für die fremde Währung von der Europäischen Zentralbank ein Referenzkurs nicht veröffentlicht, wird das Einkommen nach dem von der Deutschen Bundesbank ermittelten Mittelkurs für die Währung des betreffenden Landes umgerechnet; für Länder mit differenziertem Kurssystem ist der Kurs für den nichtkommerziellen Bereich zugrunde zu legen.</w:t>
      </w:r>
    </w:p>
    <w:p>
      <w:r>
        <w:t xml:space="preserve">(2) Bei Berücksichtigung von Einkommen ist in den Fällen, in denen der Beginn der Leistung oder der neu berechneten Leistung in der Vergangenheit liegt, der Umrechnungskurs für den Kalendermonat maßgebend, in dem die Anrechnung des Einkommens beginnt. Bei Berücksichtigung von Einkommen ist in den Fällen, in denen der Beginn der Leistung oder der neu berechneten Leistung nicht in der Vergangenheit liegt, der Umrechnungskurs für den ersten Monat des Kalendervierteljahres maßgebend, das dem Beginn der Berücksichtigung von Einkommen vorausgeht. Überstaatliches Recht bleibt unberührt.</w:t>
      </w:r>
    </w:p>
    <w:p>
      <w:r>
        <w:t xml:space="preserve">(3) Der angewandte Umrechnungskurs bleibt so lange maßgebend, bis</w:t>
      </w:r>
    </w:p>
    <w:p>
      <w:pPr>
        <w:ind w:left="420"/>
      </w:pPr>
      <w:r>
        <w:t xml:space="preserve">1. die Sozialleistung zu ändern ist,</w:t>
      </w:r>
    </w:p>
    <w:p>
      <w:pPr>
        <w:ind w:left="420"/>
      </w:pPr>
      <w:r>
        <w:t xml:space="preserve">2. sich das zu berücksichtigende Einkommen ändert oder</w:t>
      </w:r>
    </w:p>
    <w:p>
      <w:pPr>
        <w:ind w:left="420"/>
      </w:pPr>
      <w:r>
        <w:t xml:space="preserve">3. eine Kursveränderung von mehr als 10 vom Hundert gegenüber der letzten Umrechnung eintritt, jedoch nicht vor Ablauf von drei Kalendermonaten.</w:t>
      </w:r>
    </w:p>
    <w:p>
      <w:r>
        <w:t xml:space="preserve">Die Kursveränderung nach Nummer 3 sowie der neue Umrechnungskurs werden in entsprechender Anwendung von Absatz 2 ermittelt.</w:t>
      </w:r>
    </w:p>
    <w:p>
      <w:r>
        <w:t xml:space="preserve">(4) Die Absätze 1 bis 3 finden entsprechende Anwendung auf</w:t>
      </w:r>
    </w:p>
    <w:p>
      <w:pPr>
        <w:ind w:left="420"/>
      </w:pPr>
      <w:r>
        <w:t xml:space="preserve">1. Unterhaltsleistungen,</w:t>
      </w:r>
    </w:p>
    <w:p>
      <w:pPr>
        <w:ind w:left="420"/>
      </w:pPr>
      <w:r>
        <w:t xml:space="preserve">2. Prämien für eine Krankenversicherung.</w:t>
      </w:r>
    </w:p>
    <w:p>
      <w:r>
        <w:t xml:space="preserve">Sie finden keine Anwendung bei der Ermittlung von Bemessungsgrundlagen von Sozialleistungen.</w:t>
      </w:r>
    </w:p>
    <w:p>
      <w:r>
        <w:t xml:space="preserve">(5) Die Absätze 1 bis 4 sind auch anzuwenden, wenn der Versicherungsfall vor dem 1. Juli 1985 eingetreten ist.</w:t>
      </w:r>
    </w:p>
    <w:p>
      <w:r>
        <w:rPr>
          <w:color w:val="555555"/>
          <w:sz w:val="17"/>
        </w:rPr>
        <w:t xml:space="preserve">Zitiervorschlag: § 17a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