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SGB 4 — Verordnungsermächtigung</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(1) Das Bundesministerium für Arbeit und Soziales wird ermächtigt, durch Rechtsverordnung mit Zustimmung des Bundesrates zur Wahrung der Belange der Sozialversicherung und der Arbeitsförderung, zur Förderung der betrieblichen Altersversorgung oder zur Vereinfachung des Beitragseinzugs zu bestimmen,</w:t>
      </w:r>
    </w:p>
    <w:p>
      <w:pPr>
        <w:ind w:left="420"/>
      </w:pPr>
      <w:r>
        <w:t xml:space="preserve">1. dass einmalige Einnahmen oder laufende Zulagen, Zuschläge, Zuschüsse oder ähnliche Einnahmen, die zusätzlich zu Löhnen oder Gehältern gewährt werden, und steuerfreie Einnahmen ganz oder teilweise nicht als Arbeitsentgelt gelten,</w:t>
      </w:r>
    </w:p>
    <w:p>
      <w:pPr>
        <w:ind w:left="420"/>
      </w:pPr>
      <w:r>
        <w:t xml:space="preserve">2. dass Beiträge an Direktversicherungen und Zuwendungen an Pensionskassen oder Pensionsfonds ganz oder teilweise nicht als Arbeitsentgelt gelten,</w:t>
      </w:r>
    </w:p>
    <w:p>
      <w:pPr>
        <w:ind w:left="420"/>
      </w:pPr>
      <w:r>
        <w:t xml:space="preserve">3. wie das Arbeitsentgelt, das Arbeitseinkommen und das Gesamteinkommen zu ermitteln und zeitlich zuzurechnen sind,</w:t>
      </w:r>
    </w:p>
    <w:p>
      <w:pPr>
        <w:ind w:left="420"/>
      </w:pPr>
      <w:r>
        <w:t xml:space="preserve">4. den Wert der Sachbezüge nach dem tatsächlichen Verkehrswert im Voraus für jedes Kalenderjahr.</w:t>
      </w:r>
    </w:p>
    <w:p>
      <w:r>
        <w:t xml:space="preserve">Dabei ist eine möglichst weitgehende Übereinstimmung mit den Regelungen des Steuerrechts sicherzustellen.</w:t>
      </w:r>
    </w:p>
    <w:p>
      <w:r>
        <w:t xml:space="preserve">(2) Das Bundesministerium für Arbeit und Soziales bestimmt im Voraus für jedes Kalenderjahr durch Rechtsverordnung mit Zustimmung des Bundesrates die Bezugsgröße (§ 18). Das Bundesministerium für Arbeit und Soziales wird ermächtigt, durch Rechtsverordnung mit Zustimmung des Bundesrates auch sonstige aus der Bezugsgröße abzuleitende Beträge zu bestimmen.</w:t>
      </w:r>
    </w:p>
    <w:p>
      <w:r>
        <w:rPr>
          <w:color w:val="555555"/>
          <w:sz w:val="17"/>
        </w:rPr>
        <w:t xml:space="preserve">Zitiervorschlag: § 17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