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SGB 4 — Arbeitsentgelt</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Arbeitsentgelt sind alle laufenden oder einmaligen Einnahmen aus einer Beschäftigung, gleichgültig, ob ein Rechtsanspruch auf die Einnahmen besteht, unter welcher Bezeichnung oder in welcher Form sie geleistet werden und ob sie unmittelbar aus der Beschäftigung oder im Zusammenhang mit ihr erzielt werden. Arbeitsentgelt sind auch Entgeltteile, die durch Entgeltumwandlung nach § 1 Absatz 2 Nummer 3 des Betriebsrentengesetzes für betriebliche Altersversorgung in den Durchführungswegen Direktzusage oder Unterstützungskasse verwendet werden, soweit sie 4 vom Hundert der jährlichen Beitragsbemessungsgrenze der allgemeinen Rentenversicherung übersteigen.</w:t>
      </w:r>
    </w:p>
    <w:p>
      <w:r>
        <w:t xml:space="preserve">(2) Ist ein Nettoarbeitsentgelt vereinbart, gelten als Arbeitsentgelt die Einnahmen des Beschäftigten einschließlich der darauf entfallenden Steuern und der seinem gesetzlichen Anteil entsprechenden Beiträge zur Sozialversicherung und zur Arbeitsförderung. Sind bei illegalen Beschäftigungsverhältnissen Steuern und Beiträge zur Sozialversicherung und zur Arbeitsförderung nicht gezahlt worden, gilt ein Nettoarbeitsentgelt als vereinbart.</w:t>
      </w:r>
    </w:p>
    <w:p>
      <w:r>
        <w:t xml:space="preserve">(3) Wird ein Haushaltsscheck (§ 28a Absatz 7) verwendet, bleiben Zuwendungen unberücksichtigt, die nicht in Geld gewährt worden sind.</w:t>
      </w:r>
    </w:p>
    <w:p>
      <w:r>
        <w:rPr>
          <w:color w:val="555555"/>
          <w:sz w:val="17"/>
        </w:rPr>
        <w:t xml:space="preserve">Zitiervorschlag: § 14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https://recht.nulegal.eu/gesetze/SGB%204/14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