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SGB 4 — Allgemeines über Bußgeldvorschriften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13.01.2023 (konsolidierte Textfassung, kein amtliches Inkrafttretensdatum)</w:t>
      </w:r>
    </w:p>
    <w:p>
      <w:r>
        <w:t xml:space="preserve">(1) Verwaltungsbehörden im Sinne des § 36 Absatz 1 Nummer 1 des Gesetzes über Ordnungswidrigkeiten sind</w:t>
      </w:r>
    </w:p>
    <w:p>
      <w:pPr>
        <w:ind w:left="420"/>
      </w:pPr>
      <w:r>
        <w:t xml:space="preserve">1. der Versicherungsträger, soweit das Gesetz nichts anderes bestimmt,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die Behörden der Zollverwaltung bei Ordnungswidrigkeiten</w:t>
      </w:r>
    </w:p>
    <w:p>
      <w:pPr>
        <w:ind w:left="780"/>
      </w:pPr>
      <w:r>
        <w:t xml:space="preserve">a) nach § 111 Absatz 1 Satz 1 Nummer 2 Buchstabe a, soweit sie einen Verstoß im Rahmen der ihnen zugewiesenen Tätigkeiten feststellen,</w:t>
      </w:r>
    </w:p>
    <w:p>
      <w:pPr>
        <w:ind w:left="780"/>
      </w:pPr>
      <w:r>
        <w:t xml:space="preserve">b) nach § 111 Absatz 1 Satz 1 Nummer 2 Buchstabe b, soweit sie einen Verstoß im Rahmen ihrer Prüfungstätigkeit nach § 2 des Schwarzarbeitsbekämpfungsgesetzes feststellen,</w:t>
      </w:r>
    </w:p>
    <w:p>
      <w:pPr>
        <w:ind w:left="420"/>
      </w:pPr>
      <w:r>
        <w:t xml:space="preserve">4. die Einzugsstelle bei Ordnungswidrigkeiten nach § 111 Absatz 1 Satz 1 Nummer 2 Buchstabe a und b, soweit nicht die Zuständigkeit der Behörden der Zollverwaltung nach Nummer 3 gegeben ist, sowie bei Ordnungswidrigkeiten nach § 111 Absatz 1 Satz 1 Nummer 2a, 4, 8 und Absatz 2,</w:t>
      </w:r>
    </w:p>
    <w:p>
      <w:pPr>
        <w:ind w:left="420"/>
      </w:pPr>
      <w:r>
        <w:t xml:space="preserve">4a. der Träger der Rentenversicherung bei Ordnungswidrigkeiten nach § 111 Absatz 1 Nummer 3 bis 3b sowie bei Ordnungswidrigkeiten nach § 111 Absatz 1 Satz 1 Nummer 2, 4, 8 und Absatz 2, wenn die Prüfung nach § 28p vom Träger der Rentenversicherung durchgeführt oder eine Meldung direkt an sie erstattet wird,</w:t>
      </w:r>
    </w:p>
    <w:p>
      <w:pPr>
        <w:ind w:left="420"/>
      </w:pPr>
      <w:r>
        <w:t xml:space="preserve">4b. die landwirtschaftliche Krankenkasse bei Ordnungswidrigkeiten nach § 111 Absatz 1 Nummer 3 bis 3b im Falle der Prüfung von mitarbeitenden Familienangehörigen nach § 28p Absatz 1 Satz 6,</w:t>
      </w:r>
    </w:p>
    <w:p>
      <w:pPr>
        <w:ind w:left="420"/>
      </w:pPr>
      <w:r>
        <w:t xml:space="preserve">4c. (weggefallen)</w:t>
      </w:r>
    </w:p>
    <w:p>
      <w:pPr>
        <w:ind w:left="420"/>
      </w:pPr>
      <w:r>
        <w:t xml:space="preserve">5. die Aufsichtsbehörde des Versicherungsträgers bei Ordnungswidrigkeiten nach § 111 Absatz 3.</w:t>
      </w:r>
    </w:p>
    <w:p>
      <w:r>
        <w:t xml:space="preserve">(2) Wird in den Fällen des Absatzes 1 Nummer 1 und 4 gegen den Bußgeldbescheid ein zulässiger Einspruch eingelegt, nimmt die von der Vertreterversammlung bestimmte Stelle die weiteren Aufgaben der Verwaltungsbehörde (§ 69 Absatz 2, 3 und 5 des Gesetzes über Ordnungswidrigkeiten) wahr.</w:t>
      </w:r>
    </w:p>
    <w:p>
      <w:r>
        <w:t xml:space="preserve">(3) Die Geldbußen fließen in den Fällen des Absatzes 1 Nummer 1, 3 und 4 in die Kasse der Verwaltungsbehörde, die den Bußgeldbescheid erlassen hat; § 66 des Zehnten Buches gilt entsprechend. Diese Kasse trägt abweichend von § 105 Absatz 2 des Gesetzes über Ordnungswidrigkeiten die notwendigen Auslagen; sie ist auch ersatzpflichtig im Sinne des § 110 Absatz 4 des Gesetzes über Ordnungswidrigkeiten.</w:t>
      </w:r>
    </w:p>
    <w:p>
      <w:r>
        <w:rPr>
          <w:color w:val="555555"/>
          <w:sz w:val="17"/>
        </w:rPr>
        <w:t xml:space="preserve">Zitiervorschlag: § 112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