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SGB 4 — Tätigkeitsort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über den Beschäftigungsort gelten für selbständige Tätigkeiten entsprechend, soweit sich nicht aus Absatz 2 Abweichendes ergibt.</w:t>
      </w:r>
    </w:p>
    <w:p>
      <w:r>
        <w:t xml:space="preserve">(2) Ist eine feste Arbeitsstätte nicht vorhanden und wird die selbständige Tätigkeit an verschiedenen Orten ausgeübt, gilt als Tätigkeitsort der Ort des Wohnsitzes oder des gewöhnlichen Aufenthalts.</w:t>
      </w:r>
    </w:p>
    <w:p>
      <w:r>
        <w:rPr>
          <w:color w:val="555555"/>
          <w:sz w:val="17"/>
        </w:rPr>
        <w:t xml:space="preserve">Zitiervorschlag: § 11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