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108b SGB 4 — Unbedenklichkeitsbescheinigungen der Einzugsstellen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01.01.2024 (konsolidierte Textfassung, kein amtliches Inkrafttretensdatum)</w:t>
      </w:r>
    </w:p>
    <w:p>
      <w:r>
        <w:t xml:space="preserve">Arbeitgeber, insbesondere Nachunternehmer oder die beauftragten Verleiher nach § 28e Absatz 3f Satz 1 haben die Unbedenklichkeitsbescheinigungen elektronisch bei den betroffenen Einzugsstellen mit einem einheitlichen Datensatz aus einem systemgeprüften Entgeltabrechnungsprogramm oder einer Ausfüllhilfe zu beantragen. Die Einzugsstellen melden die Unbedenklichkeitsbescheinigungen unverzüglich elektronisch an den antragstellenden Unternehmer zurück. Das Nähere zum Verfahren, Aufbau und Inhalt der Datensätze und -felder bestimmt der Spitzenverband Bund der Krankenkassen bundeseinheitlich in Grundsätzen. Die Grundsätze bedürfen der Genehmigung des Bundesministeriums für Arbeit und Soziales; die Bundesvereinigung der Deutschen Arbeitgeberverbände ist vorher anzuhören.</w:t>
      </w:r>
    </w:p>
    <w:p>
      <w:r>
        <w:rPr>
          <w:color w:val="555555"/>
          <w:sz w:val="17"/>
        </w:rPr>
        <w:t xml:space="preserve">Zitiervorschlag: § 108b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https://recht.nulegal.eu/gesetze/SGB%204/108b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