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SGB 3 — Anspruch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Arbeitnehmerinnen und Arbeitnehmer haben Anspruch auf Kurzarbeitergeld, wenn</w:t>
      </w:r>
    </w:p>
    <w:p>
      <w:pPr>
        <w:ind w:left="420"/>
      </w:pPr>
      <w:r>
        <w:t xml:space="preserve">1. ein erheblicher Arbeitsausfall mit Entgeltausfall vorliegt,</w:t>
      </w:r>
    </w:p>
    <w:p>
      <w:pPr>
        <w:ind w:left="420"/>
      </w:pPr>
      <w:r>
        <w:t xml:space="preserve">2. die betrieblichen Voraussetzungen erfüllt sind,</w:t>
      </w:r>
    </w:p>
    <w:p>
      <w:pPr>
        <w:ind w:left="420"/>
      </w:pPr>
      <w:r>
        <w:t xml:space="preserve">3. die persönlichen Voraussetzungen erfüllt sind und</w:t>
      </w:r>
    </w:p>
    <w:p>
      <w:pPr>
        <w:ind w:left="420"/>
      </w:pPr>
      <w:r>
        <w:t xml:space="preserve">4. der Arbeitsausfall der Agentur für Arbeit angezeigt worden ist.</w:t>
      </w:r>
    </w:p>
    <w:p>
      <w:r>
        <w:t xml:space="preserve">Arbeitnehmerinnen und Arbeitnehmer in Betrieben nach § 101 Absatz 1 Nummer 1 haben in der Schlechtwetterzeit Anspruch auf Kurzarbeitergeld in Form des Saison-Kurzarbeitergeldes.</w:t>
      </w:r>
    </w:p>
    <w:p>
      <w:r>
        <w:rPr>
          <w:color w:val="555555"/>
          <w:sz w:val="17"/>
        </w:rPr>
        <w:t xml:space="preserve">Zitiervorschlag: § 95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